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8A3E1" w14:textId="25E45C59" w:rsidR="00EF44BC" w:rsidRPr="00C84F38" w:rsidRDefault="00EF44BC" w:rsidP="00EF44BC">
      <w:pPr>
        <w:pStyle w:val="Header"/>
        <w:tabs>
          <w:tab w:val="right" w:pos="9639"/>
        </w:tabs>
        <w:rPr>
          <w:bCs/>
          <w:noProof w:val="0"/>
          <w:sz w:val="24"/>
          <w:szCs w:val="24"/>
        </w:rPr>
      </w:pPr>
      <w:r w:rsidRPr="00E862AA">
        <w:rPr>
          <w:bCs/>
          <w:noProof w:val="0"/>
          <w:sz w:val="28"/>
          <w:szCs w:val="24"/>
        </w:rPr>
        <w:t>3GPP TSG RAN WG1 Meeting #94</w:t>
      </w:r>
      <w:r>
        <w:rPr>
          <w:bCs/>
          <w:noProof w:val="0"/>
          <w:sz w:val="24"/>
          <w:szCs w:val="24"/>
        </w:rPr>
        <w:tab/>
      </w:r>
      <w:r w:rsidR="007D1F44" w:rsidRPr="0029518B">
        <w:rPr>
          <w:bCs/>
          <w:noProof w:val="0"/>
          <w:sz w:val="28"/>
          <w:szCs w:val="28"/>
        </w:rPr>
        <w:t>R1-</w:t>
      </w:r>
      <w:r w:rsidR="007D1F44" w:rsidRPr="0029518B">
        <w:rPr>
          <w:rFonts w:cs="Arial"/>
          <w:sz w:val="28"/>
          <w:szCs w:val="28"/>
        </w:rPr>
        <w:t>1808582</w:t>
      </w:r>
    </w:p>
    <w:p w14:paraId="76C3BA30" w14:textId="4DCAC044" w:rsidR="00EF44BC" w:rsidRDefault="00EF44BC" w:rsidP="00EF44BC">
      <w:pPr>
        <w:pStyle w:val="Header"/>
        <w:rPr>
          <w:rFonts w:cs="Arial"/>
          <w:bCs/>
          <w:sz w:val="28"/>
        </w:rPr>
      </w:pPr>
      <w:r>
        <w:rPr>
          <w:rFonts w:cs="Arial"/>
          <w:bCs/>
          <w:sz w:val="28"/>
        </w:rPr>
        <w:t>Gothenburg, Sweden,</w:t>
      </w:r>
      <w:r w:rsidRPr="00A13D9B">
        <w:rPr>
          <w:rFonts w:cs="Arial"/>
          <w:bCs/>
          <w:sz w:val="28"/>
        </w:rPr>
        <w:t xml:space="preserve"> </w:t>
      </w:r>
      <w:r>
        <w:rPr>
          <w:rFonts w:cs="Arial"/>
          <w:bCs/>
          <w:sz w:val="28"/>
        </w:rPr>
        <w:t>20</w:t>
      </w:r>
      <w:r w:rsidRPr="00C6317B">
        <w:rPr>
          <w:rFonts w:cs="Arial"/>
          <w:bCs/>
          <w:sz w:val="28"/>
          <w:vertAlign w:val="superscript"/>
        </w:rPr>
        <w:t>th</w:t>
      </w:r>
      <w:r>
        <w:rPr>
          <w:rFonts w:cs="Arial"/>
          <w:bCs/>
          <w:sz w:val="28"/>
        </w:rPr>
        <w:t xml:space="preserve"> – 24</w:t>
      </w:r>
      <w:r w:rsidRPr="00044D18">
        <w:rPr>
          <w:rFonts w:cs="Arial"/>
          <w:bCs/>
          <w:sz w:val="28"/>
          <w:vertAlign w:val="superscript"/>
        </w:rPr>
        <w:t>th</w:t>
      </w:r>
      <w:r>
        <w:rPr>
          <w:rFonts w:cs="Arial"/>
          <w:bCs/>
          <w:sz w:val="28"/>
        </w:rPr>
        <w:t xml:space="preserve"> August 2018</w:t>
      </w:r>
    </w:p>
    <w:p w14:paraId="763EE237" w14:textId="77777777" w:rsidR="00EF44BC" w:rsidRPr="00A200C1" w:rsidRDefault="00EF44BC" w:rsidP="00EF44BC">
      <w:pPr>
        <w:pStyle w:val="Header"/>
        <w:rPr>
          <w:rFonts w:cs="Arial"/>
          <w:b w:val="0"/>
          <w:bCs/>
          <w:sz w:val="28"/>
        </w:rPr>
      </w:pPr>
    </w:p>
    <w:p w14:paraId="08AC4AD5" w14:textId="046F7ADB"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F1707">
        <w:rPr>
          <w:rFonts w:cs="Arial"/>
          <w:b/>
          <w:bCs/>
          <w:sz w:val="24"/>
        </w:rPr>
        <w:t>7.</w:t>
      </w:r>
      <w:r w:rsidR="0009556A">
        <w:rPr>
          <w:rFonts w:cs="Arial"/>
          <w:b/>
          <w:bCs/>
          <w:sz w:val="24"/>
        </w:rPr>
        <w:t>2</w:t>
      </w:r>
      <w:r w:rsidR="00EF1707">
        <w:rPr>
          <w:rFonts w:cs="Arial"/>
          <w:b/>
          <w:bCs/>
          <w:sz w:val="24"/>
        </w:rPr>
        <w:t>.</w:t>
      </w:r>
      <w:r w:rsidR="0009556A">
        <w:rPr>
          <w:rFonts w:cs="Arial"/>
          <w:b/>
          <w:bCs/>
          <w:sz w:val="24"/>
        </w:rPr>
        <w:t>3.3</w:t>
      </w:r>
    </w:p>
    <w:p w14:paraId="54BF8606" w14:textId="10A731E9"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3A7926">
        <w:rPr>
          <w:rFonts w:ascii="Arial" w:hAnsi="Arial" w:cs="Arial"/>
          <w:b/>
          <w:bCs/>
          <w:sz w:val="24"/>
        </w:rPr>
        <w:t>Nokia</w:t>
      </w:r>
      <w:r w:rsidR="00013455" w:rsidRPr="00013455">
        <w:rPr>
          <w:rFonts w:ascii="Arial" w:hAnsi="Arial" w:cs="Arial"/>
          <w:b/>
          <w:bCs/>
          <w:sz w:val="24"/>
        </w:rPr>
        <w:t xml:space="preserve"> Shanghai Bell</w:t>
      </w:r>
    </w:p>
    <w:p w14:paraId="52857A4E" w14:textId="1696B54C"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7E69FB">
        <w:rPr>
          <w:rFonts w:ascii="Arial" w:hAnsi="Arial" w:cs="Arial"/>
          <w:b/>
          <w:bCs/>
          <w:sz w:val="24"/>
        </w:rPr>
        <w:t xml:space="preserve">IAB </w:t>
      </w:r>
      <w:r w:rsidR="00096A43">
        <w:rPr>
          <w:rFonts w:ascii="Arial" w:hAnsi="Arial" w:cs="Arial"/>
          <w:b/>
          <w:bCs/>
          <w:sz w:val="24"/>
        </w:rPr>
        <w:t>Timing</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7B20D7D" w14:textId="1D8CE819" w:rsidR="00B926CB" w:rsidRDefault="00EF44BC" w:rsidP="00CB3C8E">
      <w:pPr>
        <w:spacing w:after="120"/>
      </w:pPr>
      <w:r>
        <w:t>RAN1#93</w:t>
      </w:r>
      <w:r w:rsidR="00B926CB">
        <w:t xml:space="preserve"> </w:t>
      </w:r>
      <w:r>
        <w:t xml:space="preserve">made </w:t>
      </w:r>
      <w:r w:rsidR="00C66C26">
        <w:t xml:space="preserve">the </w:t>
      </w:r>
      <w:r>
        <w:t>following agreeme</w:t>
      </w:r>
      <w:r w:rsidR="00C66C26">
        <w:t>nt</w:t>
      </w:r>
      <w:r>
        <w:t xml:space="preserve"> about the IAB synchronization and timing:</w:t>
      </w:r>
    </w:p>
    <w:p w14:paraId="75BE01E7" w14:textId="77777777" w:rsidR="0029518B" w:rsidRPr="00D3225F" w:rsidRDefault="0029518B" w:rsidP="0029518B">
      <w:pPr>
        <w:rPr>
          <w:lang w:eastAsia="x-none"/>
        </w:rPr>
      </w:pPr>
      <w:r w:rsidRPr="00D3225F">
        <w:rPr>
          <w:highlight w:val="green"/>
          <w:lang w:eastAsia="x-none"/>
        </w:rPr>
        <w:t>Agreements</w:t>
      </w:r>
      <w:r w:rsidRPr="00D3225F">
        <w:rPr>
          <w:lang w:eastAsia="x-none"/>
        </w:rPr>
        <w:t>:</w:t>
      </w:r>
    </w:p>
    <w:p w14:paraId="4C370F7F" w14:textId="7DB9EF88" w:rsidR="00FA629E" w:rsidRPr="0029518B" w:rsidRDefault="00FA629E" w:rsidP="00FA629E">
      <w:pPr>
        <w:pStyle w:val="ListParagraph"/>
        <w:numPr>
          <w:ilvl w:val="0"/>
          <w:numId w:val="40"/>
        </w:numPr>
        <w:rPr>
          <w:sz w:val="20"/>
          <w:lang w:val="en-GB" w:eastAsia="ko-KR"/>
        </w:rPr>
      </w:pPr>
      <w:r w:rsidRPr="0029518B">
        <w:rPr>
          <w:sz w:val="20"/>
          <w:lang w:val="en-GB" w:eastAsia="ko-KR"/>
        </w:rPr>
        <w:t>IAB supports TA-based synchronization between IAB nodes, including across multiple backhaul hops</w:t>
      </w:r>
    </w:p>
    <w:p w14:paraId="775A4FF4" w14:textId="418DF342" w:rsidR="00FA629E" w:rsidRPr="0029518B" w:rsidRDefault="00FA629E" w:rsidP="00FA629E">
      <w:pPr>
        <w:pStyle w:val="ListParagraph"/>
        <w:numPr>
          <w:ilvl w:val="1"/>
          <w:numId w:val="40"/>
        </w:numPr>
        <w:rPr>
          <w:sz w:val="20"/>
          <w:lang w:val="en-GB" w:eastAsia="ko-KR"/>
        </w:rPr>
      </w:pPr>
      <w:r w:rsidRPr="0029518B">
        <w:rPr>
          <w:sz w:val="20"/>
          <w:lang w:val="en-GB" w:eastAsia="ko-KR"/>
        </w:rPr>
        <w:t>Enhancements to existing mechanisms can be further studied</w:t>
      </w:r>
    </w:p>
    <w:p w14:paraId="5EBA3528" w14:textId="61273C53" w:rsidR="00FA629E" w:rsidRPr="0029518B" w:rsidRDefault="00FA629E" w:rsidP="00FA629E">
      <w:pPr>
        <w:pStyle w:val="ListParagraph"/>
        <w:numPr>
          <w:ilvl w:val="0"/>
          <w:numId w:val="40"/>
        </w:numPr>
        <w:rPr>
          <w:sz w:val="20"/>
          <w:lang w:val="en-GB" w:eastAsia="ko-KR"/>
        </w:rPr>
      </w:pPr>
      <w:r w:rsidRPr="0029518B">
        <w:rPr>
          <w:sz w:val="20"/>
          <w:lang w:val="en-GB" w:eastAsia="ko-KR"/>
        </w:rPr>
        <w:t>The following cases should be further studied:</w:t>
      </w:r>
    </w:p>
    <w:p w14:paraId="28962091" w14:textId="3942292C" w:rsidR="00FA629E" w:rsidRPr="0029518B" w:rsidRDefault="00FA629E" w:rsidP="00FA629E">
      <w:pPr>
        <w:pStyle w:val="ListParagraph"/>
        <w:numPr>
          <w:ilvl w:val="1"/>
          <w:numId w:val="40"/>
        </w:numPr>
        <w:rPr>
          <w:sz w:val="20"/>
          <w:lang w:val="en-GB" w:eastAsia="ko-KR"/>
        </w:rPr>
      </w:pPr>
      <w:r w:rsidRPr="0029518B">
        <w:rPr>
          <w:sz w:val="20"/>
          <w:lang w:val="en-GB" w:eastAsia="ko-KR"/>
        </w:rPr>
        <w:t>Case 1: DL transmission timing alignment across IAB nodes and donor nodes</w:t>
      </w:r>
    </w:p>
    <w:p w14:paraId="226C16C5" w14:textId="3A3261D7" w:rsidR="00FA629E" w:rsidRPr="0029518B" w:rsidRDefault="00FA629E" w:rsidP="00FA629E">
      <w:pPr>
        <w:pStyle w:val="ListParagraph"/>
        <w:numPr>
          <w:ilvl w:val="1"/>
          <w:numId w:val="40"/>
        </w:numPr>
        <w:rPr>
          <w:sz w:val="20"/>
          <w:lang w:val="en-GB" w:eastAsia="ko-KR"/>
        </w:rPr>
      </w:pPr>
      <w:r w:rsidRPr="0029518B">
        <w:rPr>
          <w:sz w:val="20"/>
          <w:lang w:val="en-GB" w:eastAsia="ko-KR"/>
        </w:rPr>
        <w:t>Case 2: DL and UL transmission timing is aligned within an IAB node</w:t>
      </w:r>
    </w:p>
    <w:p w14:paraId="27B250F8" w14:textId="39E03B50" w:rsidR="00FA629E" w:rsidRPr="0029518B" w:rsidRDefault="00FA629E" w:rsidP="00FA629E">
      <w:pPr>
        <w:pStyle w:val="ListParagraph"/>
        <w:numPr>
          <w:ilvl w:val="1"/>
          <w:numId w:val="40"/>
        </w:numPr>
        <w:rPr>
          <w:sz w:val="20"/>
          <w:lang w:val="en-GB" w:eastAsia="ko-KR"/>
        </w:rPr>
      </w:pPr>
      <w:r w:rsidRPr="0029518B">
        <w:rPr>
          <w:sz w:val="20"/>
          <w:lang w:val="en-GB" w:eastAsia="ko-KR"/>
        </w:rPr>
        <w:t>Case 3: DL and UL reception timing is aligned within an IAB node</w:t>
      </w:r>
    </w:p>
    <w:p w14:paraId="7ED905EB" w14:textId="6A504D78" w:rsidR="00FA629E" w:rsidRPr="0029518B" w:rsidRDefault="00FA629E" w:rsidP="00FA629E">
      <w:pPr>
        <w:pStyle w:val="ListParagraph"/>
        <w:numPr>
          <w:ilvl w:val="1"/>
          <w:numId w:val="40"/>
        </w:numPr>
        <w:rPr>
          <w:sz w:val="20"/>
          <w:lang w:val="en-GB" w:eastAsia="ko-KR"/>
        </w:rPr>
      </w:pPr>
      <w:r w:rsidRPr="0029518B">
        <w:rPr>
          <w:sz w:val="20"/>
          <w:lang w:val="en-GB" w:eastAsia="ko-KR"/>
        </w:rPr>
        <w:t>Case 4: within an IAB node, when transmitting using case 2 while when receiving using case 3</w:t>
      </w:r>
    </w:p>
    <w:p w14:paraId="66C501AE" w14:textId="25B8D388" w:rsidR="00FA629E" w:rsidRPr="0029518B" w:rsidRDefault="00FA629E" w:rsidP="00FA629E">
      <w:pPr>
        <w:pStyle w:val="ListParagraph"/>
        <w:numPr>
          <w:ilvl w:val="1"/>
          <w:numId w:val="40"/>
        </w:numPr>
        <w:rPr>
          <w:sz w:val="20"/>
          <w:lang w:val="en-GB" w:eastAsia="ko-KR"/>
        </w:rPr>
      </w:pPr>
      <w:r w:rsidRPr="0029518B">
        <w:rPr>
          <w:sz w:val="20"/>
          <w:lang w:val="en-GB" w:eastAsia="ko-KR"/>
        </w:rPr>
        <w:t>Case 5: Case 1 for access link timing and Case 4 for backhaul link timing within an IAB node in different time slots</w:t>
      </w:r>
    </w:p>
    <w:p w14:paraId="2EDE4D0C" w14:textId="3E97C134" w:rsidR="00FA629E" w:rsidRPr="0029518B" w:rsidRDefault="00FA629E" w:rsidP="00FA629E">
      <w:pPr>
        <w:pStyle w:val="ListParagraph"/>
        <w:numPr>
          <w:ilvl w:val="0"/>
          <w:numId w:val="40"/>
        </w:numPr>
        <w:rPr>
          <w:sz w:val="20"/>
          <w:lang w:val="en-GB" w:eastAsia="ko-KR"/>
        </w:rPr>
      </w:pPr>
      <w:r w:rsidRPr="0029518B">
        <w:rPr>
          <w:sz w:val="20"/>
          <w:lang w:val="en-GB" w:eastAsia="ko-KR"/>
        </w:rPr>
        <w:t>Further study the following levels of alignment between IAB nodes/donor nodes or within an IAB node:</w:t>
      </w:r>
    </w:p>
    <w:p w14:paraId="213EA139" w14:textId="5EDBB597" w:rsidR="00FA629E" w:rsidRPr="0029518B" w:rsidRDefault="00FA629E" w:rsidP="00FA629E">
      <w:pPr>
        <w:pStyle w:val="ListParagraph"/>
        <w:numPr>
          <w:ilvl w:val="1"/>
          <w:numId w:val="40"/>
        </w:numPr>
        <w:rPr>
          <w:sz w:val="20"/>
          <w:lang w:val="en-GB" w:eastAsia="ko-KR"/>
        </w:rPr>
      </w:pPr>
      <w:r w:rsidRPr="0029518B">
        <w:rPr>
          <w:sz w:val="20"/>
          <w:lang w:val="en-GB" w:eastAsia="ko-KR"/>
        </w:rPr>
        <w:t>Slot alignment</w:t>
      </w:r>
    </w:p>
    <w:p w14:paraId="7ABBD5B4" w14:textId="2DD2498F" w:rsidR="00FA629E" w:rsidRPr="0029518B" w:rsidRDefault="00FA629E" w:rsidP="00FA629E">
      <w:pPr>
        <w:pStyle w:val="ListParagraph"/>
        <w:numPr>
          <w:ilvl w:val="1"/>
          <w:numId w:val="40"/>
        </w:numPr>
        <w:rPr>
          <w:sz w:val="20"/>
          <w:lang w:val="en-GB" w:eastAsia="ko-KR"/>
        </w:rPr>
      </w:pPr>
      <w:r w:rsidRPr="0029518B">
        <w:rPr>
          <w:sz w:val="20"/>
          <w:lang w:val="en-GB" w:eastAsia="ko-KR"/>
        </w:rPr>
        <w:t>Symbol-level alignment</w:t>
      </w:r>
    </w:p>
    <w:p w14:paraId="13025DF8" w14:textId="775CB568" w:rsidR="00FA629E" w:rsidRPr="0029518B" w:rsidRDefault="00FA629E" w:rsidP="00FA629E">
      <w:pPr>
        <w:pStyle w:val="ListParagraph"/>
        <w:numPr>
          <w:ilvl w:val="1"/>
          <w:numId w:val="40"/>
        </w:numPr>
        <w:rPr>
          <w:sz w:val="20"/>
          <w:lang w:val="en-GB" w:eastAsia="ko-KR"/>
        </w:rPr>
      </w:pPr>
      <w:r w:rsidRPr="0029518B">
        <w:rPr>
          <w:sz w:val="20"/>
          <w:lang w:val="en-GB" w:eastAsia="ko-KR"/>
        </w:rPr>
        <w:t>No alignment</w:t>
      </w:r>
    </w:p>
    <w:p w14:paraId="21A4F6EA" w14:textId="19BEF613" w:rsidR="00B926CB" w:rsidRPr="0029518B" w:rsidRDefault="00FA629E" w:rsidP="00FA629E">
      <w:pPr>
        <w:pStyle w:val="ListParagraph"/>
        <w:numPr>
          <w:ilvl w:val="0"/>
          <w:numId w:val="40"/>
        </w:numPr>
        <w:rPr>
          <w:sz w:val="20"/>
          <w:lang w:val="en-GB" w:eastAsia="ko-KR"/>
        </w:rPr>
      </w:pPr>
      <w:r w:rsidRPr="0029518B">
        <w:rPr>
          <w:sz w:val="20"/>
          <w:lang w:val="en-GB" w:eastAsia="ko-KR"/>
        </w:rPr>
        <w:t>Further consider the impact of different cases on TDM/FDM/SDM multiplexing of access and backhaul links, cross-link interference, and impact on access UEs</w:t>
      </w:r>
    </w:p>
    <w:p w14:paraId="4DF2F697" w14:textId="77777777" w:rsidR="00FA629E" w:rsidRPr="00FA629E" w:rsidRDefault="00FA629E" w:rsidP="00FA629E">
      <w:pPr>
        <w:rPr>
          <w:i/>
          <w:lang w:eastAsia="ko-KR"/>
        </w:rPr>
      </w:pPr>
    </w:p>
    <w:p w14:paraId="2EDADF91" w14:textId="1AB5E642" w:rsidR="004C396E" w:rsidRPr="00CB3C8E" w:rsidRDefault="004C396E" w:rsidP="00EE1F1A">
      <w:r>
        <w:t xml:space="preserve">In this paper we elaborate </w:t>
      </w:r>
      <w:r w:rsidR="00EF44BC">
        <w:t xml:space="preserve">the options for </w:t>
      </w:r>
      <w:r>
        <w:t xml:space="preserve">IAB </w:t>
      </w:r>
      <w:r w:rsidR="00EF44BC">
        <w:t xml:space="preserve">timing </w:t>
      </w:r>
      <w:r>
        <w:t xml:space="preserve">and </w:t>
      </w:r>
      <w:r w:rsidR="00EF44BC">
        <w:t xml:space="preserve">how they possibly affect IAB operation and system </w:t>
      </w:r>
      <w:r w:rsidR="0055531C">
        <w:t>operation</w:t>
      </w:r>
      <w:r w:rsidR="00EF44BC">
        <w:t>.</w:t>
      </w:r>
    </w:p>
    <w:p w14:paraId="10FD11CC" w14:textId="0A0E6622" w:rsidR="00062630" w:rsidRDefault="00062630" w:rsidP="00062630">
      <w:pPr>
        <w:pStyle w:val="Heading1"/>
      </w:pPr>
      <w:r>
        <w:rPr>
          <w:color w:val="000000"/>
        </w:rPr>
        <w:t>2</w:t>
      </w:r>
      <w:r w:rsidRPr="00A51522">
        <w:rPr>
          <w:color w:val="000000"/>
        </w:rPr>
        <w:tab/>
      </w:r>
      <w:r w:rsidR="005E7117">
        <w:t>Discussion</w:t>
      </w:r>
    </w:p>
    <w:p w14:paraId="378BDAF7" w14:textId="027C7FE8" w:rsidR="00EA2D7E" w:rsidRDefault="00EA2D7E" w:rsidP="00EA2D7E">
      <w:pPr>
        <w:pStyle w:val="Heading2"/>
        <w:rPr>
          <w:lang w:val="en-US"/>
        </w:rPr>
      </w:pPr>
      <w:r>
        <w:rPr>
          <w:lang w:val="en-US"/>
        </w:rPr>
        <w:t>2.1</w:t>
      </w:r>
      <w:r>
        <w:rPr>
          <w:lang w:val="en-US"/>
        </w:rPr>
        <w:tab/>
        <w:t>Case descriptions</w:t>
      </w:r>
    </w:p>
    <w:p w14:paraId="7E5820D0" w14:textId="43C8D28A" w:rsidR="0092658D" w:rsidRDefault="005660F0" w:rsidP="0029518B">
      <w:pPr>
        <w:spacing w:after="120"/>
        <w:jc w:val="both"/>
        <w:rPr>
          <w:lang w:val="en-US"/>
        </w:rPr>
      </w:pPr>
      <w:r>
        <w:rPr>
          <w:rFonts w:eastAsia="MS Mincho"/>
          <w:lang w:eastAsia="ja-JP"/>
        </w:rPr>
        <w:t xml:space="preserve">Five cases were listed as options for IAB timing, each having their specific benefits but also certain drawbacks. </w:t>
      </w:r>
    </w:p>
    <w:p w14:paraId="3C8217AA" w14:textId="19B77750" w:rsidR="00B1691B" w:rsidRDefault="00B1691B" w:rsidP="0029518B">
      <w:pPr>
        <w:jc w:val="both"/>
        <w:rPr>
          <w:lang w:val="en-US"/>
        </w:rPr>
      </w:pPr>
      <w:r>
        <w:rPr>
          <w:lang w:val="en-US"/>
        </w:rPr>
        <w:fldChar w:fldCharType="begin"/>
      </w:r>
      <w:r>
        <w:rPr>
          <w:lang w:val="en-US"/>
        </w:rPr>
        <w:instrText xml:space="preserve"> REF _Ref521324608 \h </w:instrText>
      </w:r>
      <w:r>
        <w:rPr>
          <w:lang w:val="en-US"/>
        </w:rPr>
      </w:r>
      <w:r w:rsidR="0029518B">
        <w:rPr>
          <w:lang w:val="en-US"/>
        </w:rPr>
        <w:instrText xml:space="preserve"> \* MERGEFORMAT </w:instrText>
      </w:r>
      <w:r>
        <w:rPr>
          <w:lang w:val="en-US"/>
        </w:rPr>
        <w:fldChar w:fldCharType="separate"/>
      </w:r>
      <w:r>
        <w:t xml:space="preserve">Figure </w:t>
      </w:r>
      <w:r>
        <w:rPr>
          <w:noProof/>
        </w:rPr>
        <w:t>1</w:t>
      </w:r>
      <w:r>
        <w:rPr>
          <w:lang w:val="en-US"/>
        </w:rPr>
        <w:fldChar w:fldCharType="end"/>
      </w:r>
      <w:r>
        <w:rPr>
          <w:lang w:val="en-US"/>
        </w:rPr>
        <w:t xml:space="preserve"> illustrates the cases </w:t>
      </w:r>
      <w:r w:rsidR="00EA2D7E">
        <w:rPr>
          <w:lang w:val="en-US"/>
        </w:rPr>
        <w:t xml:space="preserve">1-4 </w:t>
      </w:r>
      <w:r>
        <w:rPr>
          <w:lang w:val="en-US"/>
        </w:rPr>
        <w:t xml:space="preserve">for IAB timing that were agreed to be studied. The examples show a simple single-hop </w:t>
      </w:r>
      <w:r w:rsidR="00CD37DA">
        <w:rPr>
          <w:lang w:val="en-US"/>
        </w:rPr>
        <w:t xml:space="preserve">BH </w:t>
      </w:r>
      <w:r>
        <w:rPr>
          <w:lang w:val="en-US"/>
        </w:rPr>
        <w:t xml:space="preserve">scenario </w:t>
      </w:r>
      <w:r w:rsidR="00CD37DA">
        <w:rPr>
          <w:lang w:val="en-US"/>
        </w:rPr>
        <w:t xml:space="preserve">with one IAB node serving access UEs. Grey box indicates </w:t>
      </w:r>
      <w:r w:rsidR="006D6444">
        <w:rPr>
          <w:lang w:val="en-US"/>
        </w:rPr>
        <w:t xml:space="preserve">the </w:t>
      </w:r>
      <w:r w:rsidR="00CD37DA">
        <w:rPr>
          <w:lang w:val="en-US"/>
        </w:rPr>
        <w:t xml:space="preserve">transmission of </w:t>
      </w:r>
      <w:r w:rsidR="00CD3CBE">
        <w:rPr>
          <w:lang w:val="en-US"/>
        </w:rPr>
        <w:t xml:space="preserve">a </w:t>
      </w:r>
      <w:r w:rsidR="00CD37DA">
        <w:rPr>
          <w:lang w:val="en-US"/>
        </w:rPr>
        <w:t>particular node whereas a white box indicate</w:t>
      </w:r>
      <w:r w:rsidR="006D6444">
        <w:rPr>
          <w:lang w:val="en-US"/>
        </w:rPr>
        <w:t>s</w:t>
      </w:r>
      <w:r w:rsidR="00CD37DA">
        <w:rPr>
          <w:lang w:val="en-US"/>
        </w:rPr>
        <w:t xml:space="preserve"> reception.</w:t>
      </w:r>
    </w:p>
    <w:p w14:paraId="749D0608" w14:textId="62D6DB79" w:rsidR="00CD37DA" w:rsidRDefault="00EE5594" w:rsidP="0029518B">
      <w:pPr>
        <w:jc w:val="both"/>
        <w:rPr>
          <w:lang w:val="en-US"/>
        </w:rPr>
      </w:pPr>
      <w:r>
        <w:rPr>
          <w:lang w:val="en-US"/>
        </w:rPr>
        <w:t xml:space="preserve">It should be noted that the figures show only the relative timing of transmissions and receptions. They do not illustrate how possible frequency and time domain multiplexing of BH and access communications could be done. The case 5 (discussed down below) is an example where the BH and access are separated in time. Anyway, such </w:t>
      </w:r>
      <w:r w:rsidR="006D6444">
        <w:rPr>
          <w:lang w:val="en-US"/>
        </w:rPr>
        <w:t xml:space="preserve">an </w:t>
      </w:r>
      <w:r>
        <w:rPr>
          <w:lang w:val="en-US"/>
        </w:rPr>
        <w:t>approach is also possible with the cases 1-4.</w:t>
      </w:r>
    </w:p>
    <w:p w14:paraId="46159DB4" w14:textId="1906D8D1" w:rsidR="00486DAE" w:rsidRDefault="00486DAE" w:rsidP="0029518B">
      <w:pPr>
        <w:jc w:val="both"/>
        <w:rPr>
          <w:lang w:val="en-US"/>
        </w:rPr>
      </w:pPr>
      <w:r>
        <w:rPr>
          <w:lang w:val="en-US"/>
        </w:rPr>
        <w:t>Furthermore, the figures do not show potential overlap between consecutive TX or RX slots which in some cases limit the available resources (symbols) that can be scheduled for each link. This is something that the scheduler should take into account considering the TX and RX timing on different links.</w:t>
      </w:r>
    </w:p>
    <w:p w14:paraId="4F984A39" w14:textId="59D06A03" w:rsidR="00EF0963" w:rsidRDefault="00B1691B" w:rsidP="00EF0963">
      <w:pPr>
        <w:rPr>
          <w:lang w:val="en-US"/>
        </w:rPr>
      </w:pPr>
      <w:r w:rsidRPr="00B1691B">
        <w:rPr>
          <w:noProof/>
        </w:rPr>
        <w:lastRenderedPageBreak/>
        <w:drawing>
          <wp:inline distT="0" distB="0" distL="0" distR="0" wp14:anchorId="628BC1E6" wp14:editId="367D4707">
            <wp:extent cx="2579427" cy="169506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14850" cy="1718343"/>
                    </a:xfrm>
                    <a:prstGeom prst="rect">
                      <a:avLst/>
                    </a:prstGeom>
                    <a:noFill/>
                    <a:ln>
                      <a:noFill/>
                    </a:ln>
                  </pic:spPr>
                </pic:pic>
              </a:graphicData>
            </a:graphic>
          </wp:inline>
        </w:drawing>
      </w:r>
      <w:r w:rsidR="00005C64">
        <w:rPr>
          <w:lang w:val="en-US"/>
        </w:rPr>
        <w:t xml:space="preserve"> </w:t>
      </w:r>
      <w:r w:rsidR="00005C64" w:rsidRPr="00005C64">
        <w:rPr>
          <w:lang w:val="en-US"/>
        </w:rPr>
        <w:t xml:space="preserve"> </w:t>
      </w:r>
      <w:r w:rsidR="00005C64">
        <w:rPr>
          <w:lang w:val="en-US"/>
        </w:rPr>
        <w:t xml:space="preserve">      </w:t>
      </w:r>
      <w:r w:rsidR="00543699" w:rsidRPr="00543699">
        <w:rPr>
          <w:noProof/>
        </w:rPr>
        <w:drawing>
          <wp:inline distT="0" distB="0" distL="0" distR="0" wp14:anchorId="0873EA86" wp14:editId="1483123A">
            <wp:extent cx="2790968" cy="1693280"/>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13861" cy="1707169"/>
                    </a:xfrm>
                    <a:prstGeom prst="rect">
                      <a:avLst/>
                    </a:prstGeom>
                    <a:noFill/>
                    <a:ln>
                      <a:noFill/>
                    </a:ln>
                  </pic:spPr>
                </pic:pic>
              </a:graphicData>
            </a:graphic>
          </wp:inline>
        </w:drawing>
      </w:r>
    </w:p>
    <w:p w14:paraId="219BD8A1" w14:textId="77777777" w:rsidR="00005C64" w:rsidRDefault="00005C64" w:rsidP="00EF0963">
      <w:pPr>
        <w:rPr>
          <w:lang w:val="en-US"/>
        </w:rPr>
      </w:pPr>
    </w:p>
    <w:p w14:paraId="2EDE61C5" w14:textId="287FFEEF" w:rsidR="00005C64" w:rsidRDefault="00B05D28" w:rsidP="00EF0963">
      <w:pPr>
        <w:rPr>
          <w:lang w:val="en-US"/>
        </w:rPr>
      </w:pPr>
      <w:r w:rsidRPr="00B05D28">
        <w:rPr>
          <w:noProof/>
        </w:rPr>
        <w:drawing>
          <wp:inline distT="0" distB="0" distL="0" distR="0" wp14:anchorId="45E33CE7" wp14:editId="7905E94F">
            <wp:extent cx="2377440" cy="1563539"/>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03703" cy="1580811"/>
                    </a:xfrm>
                    <a:prstGeom prst="rect">
                      <a:avLst/>
                    </a:prstGeom>
                    <a:noFill/>
                    <a:ln>
                      <a:noFill/>
                    </a:ln>
                  </pic:spPr>
                </pic:pic>
              </a:graphicData>
            </a:graphic>
          </wp:inline>
        </w:drawing>
      </w:r>
      <w:r w:rsidR="00005C64">
        <w:rPr>
          <w:lang w:val="en-US"/>
        </w:rPr>
        <w:t xml:space="preserve">   </w:t>
      </w:r>
      <w:r w:rsidR="00005C64">
        <w:rPr>
          <w:lang w:val="en-US"/>
        </w:rPr>
        <w:tab/>
      </w:r>
      <w:r w:rsidR="00005C64">
        <w:rPr>
          <w:lang w:val="en-US"/>
        </w:rPr>
        <w:tab/>
      </w:r>
      <w:r w:rsidR="00005C64">
        <w:rPr>
          <w:lang w:val="en-US"/>
        </w:rPr>
        <w:tab/>
      </w:r>
      <w:r w:rsidR="00543699" w:rsidRPr="00543699">
        <w:rPr>
          <w:noProof/>
        </w:rPr>
        <w:drawing>
          <wp:inline distT="0" distB="0" distL="0" distR="0" wp14:anchorId="12716902" wp14:editId="7F02A7D4">
            <wp:extent cx="2408829" cy="158295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65038" cy="1619895"/>
                    </a:xfrm>
                    <a:prstGeom prst="rect">
                      <a:avLst/>
                    </a:prstGeom>
                    <a:noFill/>
                    <a:ln>
                      <a:noFill/>
                    </a:ln>
                  </pic:spPr>
                </pic:pic>
              </a:graphicData>
            </a:graphic>
          </wp:inline>
        </w:drawing>
      </w:r>
    </w:p>
    <w:p w14:paraId="6E56F176" w14:textId="23ED65BB" w:rsidR="00B1691B" w:rsidRDefault="00B1691B" w:rsidP="00B1691B">
      <w:pPr>
        <w:pStyle w:val="Caption"/>
        <w:jc w:val="center"/>
        <w:rPr>
          <w:lang w:val="en-US"/>
        </w:rPr>
      </w:pPr>
      <w:bookmarkStart w:id="0" w:name="_Ref521324608"/>
      <w:r>
        <w:t xml:space="preserve">Figure </w:t>
      </w:r>
      <w:r>
        <w:fldChar w:fldCharType="begin"/>
      </w:r>
      <w:r>
        <w:instrText xml:space="preserve"> SEQ Figure \* ARABIC </w:instrText>
      </w:r>
      <w:r>
        <w:fldChar w:fldCharType="separate"/>
      </w:r>
      <w:r w:rsidR="00D17D32">
        <w:rPr>
          <w:noProof/>
        </w:rPr>
        <w:t>1</w:t>
      </w:r>
      <w:r>
        <w:fldChar w:fldCharType="end"/>
      </w:r>
      <w:bookmarkEnd w:id="0"/>
      <w:r w:rsidR="00543699">
        <w:t>:</w:t>
      </w:r>
      <w:r>
        <w:t xml:space="preserve"> IAB timing options</w:t>
      </w:r>
      <w:r w:rsidR="00D17D32">
        <w:t>, cases 1-4</w:t>
      </w:r>
    </w:p>
    <w:p w14:paraId="4EE84242" w14:textId="46FD562B" w:rsidR="00005C64" w:rsidRDefault="00005C64" w:rsidP="00EF0963">
      <w:pPr>
        <w:rPr>
          <w:lang w:val="en-US"/>
        </w:rPr>
      </w:pPr>
    </w:p>
    <w:p w14:paraId="3866E96E" w14:textId="1E323CA7" w:rsidR="00CD37DA" w:rsidRDefault="00CD37DA" w:rsidP="00C66C26">
      <w:pPr>
        <w:jc w:val="both"/>
        <w:rPr>
          <w:lang w:val="en-US"/>
        </w:rPr>
      </w:pPr>
      <w:r w:rsidRPr="00CD37DA">
        <w:rPr>
          <w:b/>
          <w:u w:val="single"/>
          <w:lang w:val="en-US"/>
        </w:rPr>
        <w:t>Case 1</w:t>
      </w:r>
      <w:r>
        <w:rPr>
          <w:lang w:val="en-US"/>
        </w:rPr>
        <w:t xml:space="preserve">: </w:t>
      </w:r>
      <w:r w:rsidRPr="00CD37DA">
        <w:rPr>
          <w:lang w:val="en-US"/>
        </w:rPr>
        <w:t>DL transmission timing alignment across IAB nodes and donor nodes</w:t>
      </w:r>
      <w:r w:rsidR="00C66C26">
        <w:rPr>
          <w:lang w:val="en-US"/>
        </w:rPr>
        <w:t>.</w:t>
      </w:r>
    </w:p>
    <w:p w14:paraId="3F35F3B1" w14:textId="00A0EB13" w:rsidR="00CD37DA" w:rsidRDefault="00CD37DA" w:rsidP="00C66C26">
      <w:pPr>
        <w:jc w:val="both"/>
        <w:rPr>
          <w:lang w:val="en-US"/>
        </w:rPr>
      </w:pPr>
      <w:r>
        <w:rPr>
          <w:lang w:val="en-US"/>
        </w:rPr>
        <w:t>From the donor point of view, the child IAB node timing is aligned with the access UEs and therefore IAB is no exception among the served UEs/nodes regarding the timing control. As the DL TX of the IAB node is aligned with the donor, the access UEs will see the network synchronized. Hence, there will be no impact on UE behavior.</w:t>
      </w:r>
    </w:p>
    <w:p w14:paraId="062D3579" w14:textId="439BEB22" w:rsidR="001F692F" w:rsidRDefault="001F692F" w:rsidP="00C66C26">
      <w:pPr>
        <w:spacing w:after="60"/>
        <w:jc w:val="both"/>
        <w:rPr>
          <w:lang w:val="en-US"/>
        </w:rPr>
      </w:pPr>
      <w:r>
        <w:rPr>
          <w:lang w:val="en-US"/>
        </w:rPr>
        <w:t>The IAB internal operation shall support two separate timings for both TX and RX:</w:t>
      </w:r>
    </w:p>
    <w:p w14:paraId="305062A5" w14:textId="77777777" w:rsidR="001F692F" w:rsidRPr="00F456AE" w:rsidRDefault="001F692F" w:rsidP="00C66C26">
      <w:pPr>
        <w:pStyle w:val="ListParagraph"/>
        <w:numPr>
          <w:ilvl w:val="0"/>
          <w:numId w:val="41"/>
        </w:numPr>
        <w:jc w:val="both"/>
        <w:rPr>
          <w:sz w:val="20"/>
          <w:szCs w:val="20"/>
          <w:lang w:val="en-US" w:eastAsia="en-US"/>
        </w:rPr>
      </w:pPr>
      <w:r w:rsidRPr="00F456AE">
        <w:rPr>
          <w:sz w:val="20"/>
          <w:szCs w:val="20"/>
          <w:lang w:val="en-US" w:eastAsia="en-US"/>
        </w:rPr>
        <w:t>TX:</w:t>
      </w:r>
    </w:p>
    <w:p w14:paraId="4CC40EA6" w14:textId="7E0E7748" w:rsidR="001F692F" w:rsidRPr="00F456AE" w:rsidRDefault="001F692F" w:rsidP="00C66C26">
      <w:pPr>
        <w:pStyle w:val="ListParagraph"/>
        <w:numPr>
          <w:ilvl w:val="1"/>
          <w:numId w:val="41"/>
        </w:numPr>
        <w:jc w:val="both"/>
        <w:rPr>
          <w:sz w:val="20"/>
          <w:szCs w:val="20"/>
          <w:lang w:val="en-US" w:eastAsia="en-US"/>
        </w:rPr>
      </w:pPr>
      <w:r w:rsidRPr="00F456AE">
        <w:rPr>
          <w:sz w:val="20"/>
          <w:szCs w:val="20"/>
          <w:lang w:val="en-US" w:eastAsia="en-US"/>
        </w:rPr>
        <w:t xml:space="preserve">DL TX for access link aligned system-wise </w:t>
      </w:r>
      <w:r w:rsidR="00F456AE" w:rsidRPr="00F456AE">
        <w:rPr>
          <w:sz w:val="20"/>
          <w:szCs w:val="20"/>
          <w:lang w:val="en-US" w:eastAsia="en-US"/>
        </w:rPr>
        <w:t xml:space="preserve">in </w:t>
      </w:r>
      <w:r w:rsidRPr="00F456AE">
        <w:rPr>
          <w:sz w:val="20"/>
          <w:szCs w:val="20"/>
          <w:lang w:val="en-US" w:eastAsia="en-US"/>
        </w:rPr>
        <w:t xml:space="preserve">all </w:t>
      </w:r>
      <w:r w:rsidR="00F456AE" w:rsidRPr="00F456AE">
        <w:rPr>
          <w:sz w:val="20"/>
          <w:szCs w:val="20"/>
          <w:lang w:val="en-US" w:eastAsia="en-US"/>
        </w:rPr>
        <w:t>cells (served by donor(s) and IAB nodes)</w:t>
      </w:r>
    </w:p>
    <w:p w14:paraId="37844136" w14:textId="75DB5B90" w:rsidR="001F692F" w:rsidRDefault="001F692F" w:rsidP="00C66C26">
      <w:pPr>
        <w:pStyle w:val="ListParagraph"/>
        <w:numPr>
          <w:ilvl w:val="1"/>
          <w:numId w:val="41"/>
        </w:numPr>
        <w:jc w:val="both"/>
        <w:rPr>
          <w:sz w:val="20"/>
          <w:szCs w:val="20"/>
          <w:lang w:val="en-US" w:eastAsia="en-US"/>
        </w:rPr>
      </w:pPr>
      <w:r w:rsidRPr="00F456AE">
        <w:rPr>
          <w:sz w:val="20"/>
          <w:szCs w:val="20"/>
          <w:lang w:val="en-US" w:eastAsia="en-US"/>
        </w:rPr>
        <w:t>UL TX</w:t>
      </w:r>
      <w:r w:rsidR="00F456AE">
        <w:rPr>
          <w:sz w:val="20"/>
          <w:szCs w:val="20"/>
          <w:lang w:val="en-US" w:eastAsia="en-US"/>
        </w:rPr>
        <w:t xml:space="preserve"> for BH link adjusted with the TA (Timing Advance) procedure</w:t>
      </w:r>
    </w:p>
    <w:p w14:paraId="7B549487" w14:textId="2DE16890" w:rsidR="00F456AE" w:rsidRDefault="00F456AE" w:rsidP="00C66C26">
      <w:pPr>
        <w:pStyle w:val="ListParagraph"/>
        <w:numPr>
          <w:ilvl w:val="0"/>
          <w:numId w:val="41"/>
        </w:numPr>
        <w:jc w:val="both"/>
        <w:rPr>
          <w:sz w:val="20"/>
          <w:szCs w:val="20"/>
          <w:lang w:val="en-US" w:eastAsia="en-US"/>
        </w:rPr>
      </w:pPr>
      <w:r>
        <w:rPr>
          <w:sz w:val="20"/>
          <w:szCs w:val="20"/>
          <w:lang w:val="en-US" w:eastAsia="en-US"/>
        </w:rPr>
        <w:t>RX:</w:t>
      </w:r>
    </w:p>
    <w:p w14:paraId="3B75193B" w14:textId="34E42F9B" w:rsidR="00F456AE" w:rsidRDefault="00F456AE" w:rsidP="00C66C26">
      <w:pPr>
        <w:pStyle w:val="ListParagraph"/>
        <w:numPr>
          <w:ilvl w:val="1"/>
          <w:numId w:val="41"/>
        </w:numPr>
        <w:jc w:val="both"/>
        <w:rPr>
          <w:sz w:val="20"/>
          <w:szCs w:val="20"/>
          <w:lang w:val="en-US" w:eastAsia="en-US"/>
        </w:rPr>
      </w:pPr>
      <w:r>
        <w:rPr>
          <w:sz w:val="20"/>
          <w:szCs w:val="20"/>
          <w:lang w:val="en-US" w:eastAsia="en-US"/>
        </w:rPr>
        <w:t>UL RX of the access link adjusted with TA</w:t>
      </w:r>
    </w:p>
    <w:p w14:paraId="071392C4" w14:textId="4AC73016" w:rsidR="00F456AE" w:rsidRDefault="00F456AE" w:rsidP="00C66C26">
      <w:pPr>
        <w:pStyle w:val="ListParagraph"/>
        <w:numPr>
          <w:ilvl w:val="1"/>
          <w:numId w:val="41"/>
        </w:numPr>
        <w:spacing w:after="120"/>
        <w:ind w:left="1434" w:hanging="357"/>
        <w:jc w:val="both"/>
        <w:rPr>
          <w:sz w:val="20"/>
          <w:szCs w:val="20"/>
          <w:lang w:val="en-US" w:eastAsia="en-US"/>
        </w:rPr>
      </w:pPr>
      <w:r>
        <w:rPr>
          <w:sz w:val="20"/>
          <w:szCs w:val="20"/>
          <w:lang w:val="en-US" w:eastAsia="en-US"/>
        </w:rPr>
        <w:t>DL RX of the BH link with timing offset of the propagation delay between the parent and child node</w:t>
      </w:r>
    </w:p>
    <w:p w14:paraId="5F92BB39" w14:textId="00594720" w:rsidR="00F456AE" w:rsidRPr="003E2596" w:rsidRDefault="003E2596" w:rsidP="00C66C26">
      <w:pPr>
        <w:jc w:val="both"/>
        <w:rPr>
          <w:b/>
          <w:lang w:val="en-US"/>
        </w:rPr>
      </w:pPr>
      <w:r w:rsidRPr="003E2596">
        <w:rPr>
          <w:b/>
          <w:lang w:val="en-US"/>
        </w:rPr>
        <w:t>Observation 1: Case#1 results in synchronized cellular timing throughout the network.</w:t>
      </w:r>
    </w:p>
    <w:p w14:paraId="64A0FA3D" w14:textId="77777777" w:rsidR="00D74E86" w:rsidRDefault="00D74E86" w:rsidP="00F668FD">
      <w:pPr>
        <w:rPr>
          <w:b/>
          <w:u w:val="single"/>
          <w:lang w:val="en-US"/>
        </w:rPr>
      </w:pPr>
    </w:p>
    <w:p w14:paraId="38253255" w14:textId="7F37F402" w:rsidR="00CD37DA" w:rsidRDefault="00CD37DA" w:rsidP="00C66C26">
      <w:pPr>
        <w:jc w:val="both"/>
        <w:rPr>
          <w:lang w:val="en-US"/>
        </w:rPr>
      </w:pPr>
      <w:r w:rsidRPr="00CD37DA">
        <w:rPr>
          <w:b/>
          <w:u w:val="single"/>
          <w:lang w:val="en-US"/>
        </w:rPr>
        <w:t>Case 2</w:t>
      </w:r>
      <w:r w:rsidRPr="00CD37DA">
        <w:rPr>
          <w:lang w:val="en-US"/>
        </w:rPr>
        <w:t>: DL and UL transmission timing is aligned within an IAB node</w:t>
      </w:r>
      <w:r w:rsidR="00C66C26">
        <w:rPr>
          <w:lang w:val="en-US"/>
        </w:rPr>
        <w:t>.</w:t>
      </w:r>
    </w:p>
    <w:p w14:paraId="697E1E29" w14:textId="76626763" w:rsidR="00F668FD" w:rsidRDefault="003B112D" w:rsidP="00C66C26">
      <w:pPr>
        <w:jc w:val="both"/>
        <w:rPr>
          <w:lang w:val="en-US"/>
        </w:rPr>
      </w:pPr>
      <w:r>
        <w:rPr>
          <w:lang w:val="en-US"/>
        </w:rPr>
        <w:t xml:space="preserve">This </w:t>
      </w:r>
      <w:r w:rsidR="00283B8D">
        <w:rPr>
          <w:lang w:val="en-US"/>
        </w:rPr>
        <w:t xml:space="preserve">option </w:t>
      </w:r>
      <w:r>
        <w:rPr>
          <w:lang w:val="en-US"/>
        </w:rPr>
        <w:t>eliminates the double TX timing of the IAB node synchronizing the transmissions for both DL/downstream and UL/upstream directions.</w:t>
      </w:r>
    </w:p>
    <w:p w14:paraId="18069164" w14:textId="2098E52B" w:rsidR="00CD37DA" w:rsidRDefault="00CD37DA" w:rsidP="00C66C26">
      <w:pPr>
        <w:spacing w:after="60"/>
        <w:jc w:val="both"/>
        <w:rPr>
          <w:lang w:val="en-US"/>
        </w:rPr>
      </w:pPr>
      <w:r w:rsidRPr="00CD37DA">
        <w:rPr>
          <w:b/>
          <w:u w:val="single"/>
          <w:lang w:val="en-US"/>
        </w:rPr>
        <w:t>Case 3</w:t>
      </w:r>
      <w:r w:rsidRPr="00CD37DA">
        <w:rPr>
          <w:lang w:val="en-US"/>
        </w:rPr>
        <w:t>: DL and UL reception timing is aligned within an IAB node</w:t>
      </w:r>
      <w:r w:rsidR="00C66C26">
        <w:rPr>
          <w:lang w:val="en-US"/>
        </w:rPr>
        <w:t>.</w:t>
      </w:r>
    </w:p>
    <w:p w14:paraId="1D917FD3" w14:textId="11522949" w:rsidR="00283B8D" w:rsidRDefault="00283B8D" w:rsidP="00C66C26">
      <w:pPr>
        <w:spacing w:after="60"/>
        <w:jc w:val="both"/>
        <w:rPr>
          <w:lang w:val="en-US"/>
        </w:rPr>
      </w:pPr>
      <w:r>
        <w:rPr>
          <w:lang w:val="en-US"/>
        </w:rPr>
        <w:t>This option eliminates the double RX timing of the IAB node synchronizing the reception for both DL/downstream and UL/upstream directions.</w:t>
      </w:r>
    </w:p>
    <w:p w14:paraId="62A7F718" w14:textId="0DFD70DA" w:rsidR="00B05D28" w:rsidRDefault="00B05D28" w:rsidP="00C66C26">
      <w:pPr>
        <w:jc w:val="both"/>
        <w:rPr>
          <w:lang w:val="en-US"/>
        </w:rPr>
      </w:pPr>
      <w:r>
        <w:rPr>
          <w:lang w:val="en-US"/>
        </w:rPr>
        <w:t xml:space="preserve">DL TX synchronization could be achieved but it can lead to negative TAs for access UEs (Fig.1 shows a case with TA=0), see the description for </w:t>
      </w:r>
      <w:r w:rsidR="00C66C26">
        <w:rPr>
          <w:lang w:val="en-US"/>
        </w:rPr>
        <w:t>C</w:t>
      </w:r>
      <w:r>
        <w:rPr>
          <w:lang w:val="en-US"/>
        </w:rPr>
        <w:t>ase 4 below.</w:t>
      </w:r>
    </w:p>
    <w:p w14:paraId="68E39F3D" w14:textId="249C6097" w:rsidR="003038F8" w:rsidRDefault="003038F8" w:rsidP="00C66C26">
      <w:pPr>
        <w:jc w:val="both"/>
        <w:rPr>
          <w:lang w:val="en-US"/>
        </w:rPr>
      </w:pPr>
      <w:r w:rsidRPr="00CD37DA">
        <w:rPr>
          <w:b/>
          <w:u w:val="single"/>
          <w:lang w:val="en-US"/>
        </w:rPr>
        <w:t xml:space="preserve">Case </w:t>
      </w:r>
      <w:r>
        <w:rPr>
          <w:b/>
          <w:u w:val="single"/>
          <w:lang w:val="en-US"/>
        </w:rPr>
        <w:t>4</w:t>
      </w:r>
      <w:r w:rsidRPr="00CD37DA">
        <w:rPr>
          <w:lang w:val="en-US"/>
        </w:rPr>
        <w:t xml:space="preserve">: </w:t>
      </w:r>
      <w:r>
        <w:rPr>
          <w:lang w:val="en-US"/>
        </w:rPr>
        <w:t>W</w:t>
      </w:r>
      <w:r w:rsidRPr="003038F8">
        <w:rPr>
          <w:lang w:val="en-US"/>
        </w:rPr>
        <w:t xml:space="preserve">ithin an IAB node, when transmitting using </w:t>
      </w:r>
      <w:r w:rsidR="00C66C26">
        <w:rPr>
          <w:lang w:val="en-US"/>
        </w:rPr>
        <w:t>C</w:t>
      </w:r>
      <w:r w:rsidRPr="003038F8">
        <w:rPr>
          <w:lang w:val="en-US"/>
        </w:rPr>
        <w:t xml:space="preserve">ase 2 while when receiving using </w:t>
      </w:r>
      <w:r w:rsidR="00C66C26">
        <w:rPr>
          <w:lang w:val="en-US"/>
        </w:rPr>
        <w:t>C</w:t>
      </w:r>
      <w:r w:rsidRPr="003038F8">
        <w:rPr>
          <w:lang w:val="en-US"/>
        </w:rPr>
        <w:t>ase 3</w:t>
      </w:r>
      <w:r w:rsidR="00C66C26">
        <w:rPr>
          <w:lang w:val="en-US"/>
        </w:rPr>
        <w:t>.</w:t>
      </w:r>
    </w:p>
    <w:p w14:paraId="5CEFA44C" w14:textId="03A80BD8" w:rsidR="00EE29DB" w:rsidRDefault="00730A68" w:rsidP="00C66C26">
      <w:pPr>
        <w:spacing w:after="60"/>
        <w:jc w:val="both"/>
        <w:rPr>
          <w:rFonts w:eastAsia="MS Mincho"/>
          <w:lang w:val="en-US" w:eastAsia="ja-JP"/>
        </w:rPr>
      </w:pPr>
      <w:r>
        <w:rPr>
          <w:rFonts w:eastAsia="MS Mincho"/>
          <w:lang w:val="en-US" w:eastAsia="ja-JP"/>
        </w:rPr>
        <w:t xml:space="preserve">As can be seen in </w:t>
      </w:r>
      <w:r>
        <w:rPr>
          <w:rFonts w:eastAsia="MS Mincho"/>
          <w:lang w:val="en-US" w:eastAsia="ja-JP"/>
        </w:rPr>
        <w:fldChar w:fldCharType="begin"/>
      </w:r>
      <w:r>
        <w:rPr>
          <w:rFonts w:eastAsia="MS Mincho"/>
          <w:lang w:val="en-US" w:eastAsia="ja-JP"/>
        </w:rPr>
        <w:instrText xml:space="preserve"> REF _Ref521324608 \h </w:instrText>
      </w:r>
      <w:r>
        <w:rPr>
          <w:rFonts w:eastAsia="MS Mincho"/>
          <w:lang w:val="en-US" w:eastAsia="ja-JP"/>
        </w:rPr>
      </w:r>
      <w:r w:rsidR="00C66C26">
        <w:rPr>
          <w:rFonts w:eastAsia="MS Mincho"/>
          <w:lang w:val="en-US" w:eastAsia="ja-JP"/>
        </w:rPr>
        <w:instrText xml:space="preserve"> \* MERGEFORMAT </w:instrText>
      </w:r>
      <w:r>
        <w:rPr>
          <w:rFonts w:eastAsia="MS Mincho"/>
          <w:lang w:val="en-US" w:eastAsia="ja-JP"/>
        </w:rPr>
        <w:fldChar w:fldCharType="separate"/>
      </w:r>
      <w:r>
        <w:t xml:space="preserve">Figure </w:t>
      </w:r>
      <w:r>
        <w:rPr>
          <w:noProof/>
        </w:rPr>
        <w:t>1</w:t>
      </w:r>
      <w:r>
        <w:rPr>
          <w:rFonts w:eastAsia="MS Mincho"/>
          <w:lang w:val="en-US" w:eastAsia="ja-JP"/>
        </w:rPr>
        <w:fldChar w:fldCharType="end"/>
      </w:r>
      <w:r>
        <w:rPr>
          <w:rFonts w:eastAsia="MS Mincho"/>
          <w:lang w:val="en-US" w:eastAsia="ja-JP"/>
        </w:rPr>
        <w:t xml:space="preserve">, the access UE timing advance </w:t>
      </w:r>
      <w:r w:rsidR="007012A7">
        <w:rPr>
          <w:rFonts w:eastAsia="MS Mincho"/>
          <w:lang w:val="en-US" w:eastAsia="ja-JP"/>
        </w:rPr>
        <w:t>(TA</w:t>
      </w:r>
      <w:r w:rsidR="007012A7" w:rsidRPr="007012A7">
        <w:rPr>
          <w:rFonts w:eastAsia="MS Mincho"/>
          <w:vertAlign w:val="subscript"/>
          <w:lang w:val="en-US" w:eastAsia="ja-JP"/>
        </w:rPr>
        <w:t>UE</w:t>
      </w:r>
      <w:r w:rsidR="007012A7">
        <w:rPr>
          <w:rFonts w:eastAsia="MS Mincho"/>
          <w:lang w:val="en-US" w:eastAsia="ja-JP"/>
        </w:rPr>
        <w:t xml:space="preserve">) </w:t>
      </w:r>
      <w:r w:rsidR="00EE29DB">
        <w:rPr>
          <w:rFonts w:eastAsia="MS Mincho"/>
          <w:lang w:val="en-US" w:eastAsia="ja-JP"/>
        </w:rPr>
        <w:t xml:space="preserve">will </w:t>
      </w:r>
      <w:r w:rsidR="00424641">
        <w:rPr>
          <w:rFonts w:eastAsia="MS Mincho"/>
          <w:lang w:val="en-US" w:eastAsia="ja-JP"/>
        </w:rPr>
        <w:t xml:space="preserve">become </w:t>
      </w:r>
      <w:r>
        <w:rPr>
          <w:rFonts w:eastAsia="MS Mincho"/>
          <w:lang w:val="en-US" w:eastAsia="ja-JP"/>
        </w:rPr>
        <w:t>negative</w:t>
      </w:r>
      <w:r w:rsidR="007012A7">
        <w:rPr>
          <w:rFonts w:eastAsia="MS Mincho"/>
          <w:lang w:val="en-US" w:eastAsia="ja-JP"/>
        </w:rPr>
        <w:t>,</w:t>
      </w:r>
      <w:r>
        <w:rPr>
          <w:rFonts w:eastAsia="MS Mincho"/>
          <w:lang w:val="en-US" w:eastAsia="ja-JP"/>
        </w:rPr>
        <w:t xml:space="preserve"> i.e. </w:t>
      </w:r>
      <w:r w:rsidR="007012A7">
        <w:rPr>
          <w:rFonts w:eastAsia="MS Mincho"/>
          <w:lang w:val="en-US" w:eastAsia="ja-JP"/>
        </w:rPr>
        <w:t>to delay TX timing,</w:t>
      </w:r>
      <w:r>
        <w:rPr>
          <w:rFonts w:eastAsia="MS Mincho"/>
          <w:lang w:val="en-US" w:eastAsia="ja-JP"/>
        </w:rPr>
        <w:t xml:space="preserve"> </w:t>
      </w:r>
      <w:r w:rsidR="00424641">
        <w:rPr>
          <w:rFonts w:eastAsia="MS Mincho"/>
          <w:lang w:val="en-US" w:eastAsia="ja-JP"/>
        </w:rPr>
        <w:t xml:space="preserve">when the </w:t>
      </w:r>
      <w:r w:rsidR="007012A7">
        <w:rPr>
          <w:rFonts w:eastAsia="MS Mincho"/>
          <w:lang w:val="en-US" w:eastAsia="ja-JP"/>
        </w:rPr>
        <w:t>propagation delay on the BH link (T</w:t>
      </w:r>
      <w:r w:rsidR="007012A7">
        <w:rPr>
          <w:rFonts w:eastAsia="MS Mincho"/>
          <w:vertAlign w:val="subscript"/>
          <w:lang w:val="en-US" w:eastAsia="ja-JP"/>
        </w:rPr>
        <w:t>P_</w:t>
      </w:r>
      <w:r w:rsidR="007012A7" w:rsidRPr="007012A7">
        <w:rPr>
          <w:rFonts w:eastAsia="MS Mincho"/>
          <w:vertAlign w:val="subscript"/>
          <w:lang w:val="en-US" w:eastAsia="ja-JP"/>
        </w:rPr>
        <w:t>BH</w:t>
      </w:r>
      <w:r w:rsidR="007012A7">
        <w:rPr>
          <w:rFonts w:eastAsia="MS Mincho"/>
          <w:lang w:val="en-US" w:eastAsia="ja-JP"/>
        </w:rPr>
        <w:t xml:space="preserve">) is larger than </w:t>
      </w:r>
      <w:r w:rsidR="00EE29DB">
        <w:rPr>
          <w:rFonts w:eastAsia="MS Mincho"/>
          <w:lang w:val="en-US" w:eastAsia="ja-JP"/>
        </w:rPr>
        <w:t xml:space="preserve">that </w:t>
      </w:r>
      <w:r w:rsidR="007012A7">
        <w:rPr>
          <w:rFonts w:eastAsia="MS Mincho"/>
          <w:lang w:val="en-US" w:eastAsia="ja-JP"/>
        </w:rPr>
        <w:t xml:space="preserve">in the access link </w:t>
      </w:r>
      <w:r w:rsidR="00EE29DB">
        <w:rPr>
          <w:rFonts w:eastAsia="MS Mincho"/>
          <w:lang w:val="en-US" w:eastAsia="ja-JP"/>
        </w:rPr>
        <w:t>(T</w:t>
      </w:r>
      <w:r w:rsidR="00EE29DB" w:rsidRPr="00EE29DB">
        <w:rPr>
          <w:rFonts w:eastAsia="MS Mincho"/>
          <w:vertAlign w:val="subscript"/>
          <w:lang w:val="en-US" w:eastAsia="ja-JP"/>
        </w:rPr>
        <w:t>P_Acc</w:t>
      </w:r>
      <w:r w:rsidR="00EE29DB">
        <w:rPr>
          <w:rFonts w:eastAsia="MS Mincho"/>
          <w:lang w:val="en-US" w:eastAsia="ja-JP"/>
        </w:rPr>
        <w:t xml:space="preserve">) </w:t>
      </w:r>
      <w:r>
        <w:rPr>
          <w:rFonts w:eastAsia="MS Mincho"/>
          <w:lang w:val="en-US" w:eastAsia="ja-JP"/>
        </w:rPr>
        <w:t xml:space="preserve">to match with the BH DL timing at the IAB node. </w:t>
      </w:r>
      <w:r w:rsidR="00EE29DB">
        <w:rPr>
          <w:rFonts w:eastAsia="MS Mincho"/>
          <w:lang w:val="en-US" w:eastAsia="ja-JP"/>
        </w:rPr>
        <w:t>The TA</w:t>
      </w:r>
      <w:r w:rsidR="00EE29DB" w:rsidRPr="00EE29DB">
        <w:rPr>
          <w:rFonts w:eastAsia="MS Mincho"/>
          <w:vertAlign w:val="subscript"/>
          <w:lang w:val="en-US" w:eastAsia="ja-JP"/>
        </w:rPr>
        <w:t>UE</w:t>
      </w:r>
      <w:r w:rsidR="00EE29DB">
        <w:rPr>
          <w:rFonts w:eastAsia="MS Mincho"/>
          <w:lang w:val="en-US" w:eastAsia="ja-JP"/>
        </w:rPr>
        <w:t xml:space="preserve"> </w:t>
      </w:r>
      <w:r w:rsidR="00447827">
        <w:rPr>
          <w:rFonts w:eastAsia="MS Mincho"/>
          <w:lang w:val="en-US" w:eastAsia="ja-JP"/>
        </w:rPr>
        <w:t>= 2*(T</w:t>
      </w:r>
      <w:r w:rsidR="00447827">
        <w:rPr>
          <w:rFonts w:eastAsia="MS Mincho"/>
          <w:vertAlign w:val="subscript"/>
          <w:lang w:val="en-US" w:eastAsia="ja-JP"/>
        </w:rPr>
        <w:t>P_</w:t>
      </w:r>
      <w:r w:rsidR="00B05D28">
        <w:rPr>
          <w:rFonts w:eastAsia="MS Mincho"/>
          <w:vertAlign w:val="subscript"/>
          <w:lang w:val="en-US" w:eastAsia="ja-JP"/>
        </w:rPr>
        <w:t>Acc</w:t>
      </w:r>
      <w:r w:rsidR="00447827">
        <w:rPr>
          <w:rFonts w:eastAsia="MS Mincho"/>
          <w:lang w:val="en-US" w:eastAsia="ja-JP"/>
        </w:rPr>
        <w:t xml:space="preserve"> - T</w:t>
      </w:r>
      <w:r w:rsidR="00447827" w:rsidRPr="00EE29DB">
        <w:rPr>
          <w:rFonts w:eastAsia="MS Mincho"/>
          <w:vertAlign w:val="subscript"/>
          <w:lang w:val="en-US" w:eastAsia="ja-JP"/>
        </w:rPr>
        <w:t>P_</w:t>
      </w:r>
      <w:r w:rsidR="00B05D28">
        <w:rPr>
          <w:rFonts w:eastAsia="MS Mincho"/>
          <w:vertAlign w:val="subscript"/>
          <w:lang w:val="en-US" w:eastAsia="ja-JP"/>
        </w:rPr>
        <w:t>BH</w:t>
      </w:r>
      <w:r w:rsidR="00447827">
        <w:rPr>
          <w:rFonts w:eastAsia="MS Mincho"/>
          <w:lang w:val="en-US" w:eastAsia="ja-JP"/>
        </w:rPr>
        <w:t xml:space="preserve">) and will </w:t>
      </w:r>
      <w:r w:rsidR="0045477B">
        <w:rPr>
          <w:rFonts w:eastAsia="MS Mincho"/>
          <w:lang w:val="en-US" w:eastAsia="ja-JP"/>
        </w:rPr>
        <w:t xml:space="preserve">be </w:t>
      </w:r>
      <w:r w:rsidR="00EE29DB">
        <w:rPr>
          <w:rFonts w:eastAsia="MS Mincho"/>
          <w:lang w:val="en-US" w:eastAsia="ja-JP"/>
        </w:rPr>
        <w:t xml:space="preserve">zero when the propagation delay is the same on </w:t>
      </w:r>
      <w:r w:rsidR="00EE29DB">
        <w:rPr>
          <w:rFonts w:eastAsia="MS Mincho"/>
          <w:lang w:val="en-US" w:eastAsia="ja-JP"/>
        </w:rPr>
        <w:lastRenderedPageBreak/>
        <w:t>both BH and access links. In practice</w:t>
      </w:r>
      <w:r w:rsidR="006A7EE9">
        <w:rPr>
          <w:rFonts w:eastAsia="MS Mincho"/>
          <w:lang w:val="en-US" w:eastAsia="ja-JP"/>
        </w:rPr>
        <w:t>,</w:t>
      </w:r>
      <w:r w:rsidR="00EE29DB">
        <w:rPr>
          <w:rFonts w:eastAsia="MS Mincho"/>
          <w:lang w:val="en-US" w:eastAsia="ja-JP"/>
        </w:rPr>
        <w:t xml:space="preserve"> TA</w:t>
      </w:r>
      <w:r w:rsidR="00EE29DB" w:rsidRPr="00EE29DB">
        <w:rPr>
          <w:rFonts w:eastAsia="MS Mincho"/>
          <w:vertAlign w:val="subscript"/>
          <w:lang w:val="en-US" w:eastAsia="ja-JP"/>
        </w:rPr>
        <w:t>UE</w:t>
      </w:r>
      <w:r w:rsidR="00EE29DB">
        <w:rPr>
          <w:rFonts w:eastAsia="MS Mincho"/>
          <w:lang w:val="en-US" w:eastAsia="ja-JP"/>
        </w:rPr>
        <w:t xml:space="preserve"> will be in </w:t>
      </w:r>
      <w:r w:rsidR="00447827">
        <w:rPr>
          <w:rFonts w:eastAsia="MS Mincho"/>
          <w:lang w:val="en-US" w:eastAsia="ja-JP"/>
        </w:rPr>
        <w:t xml:space="preserve">most </w:t>
      </w:r>
      <w:r w:rsidR="00EE29DB">
        <w:rPr>
          <w:rFonts w:eastAsia="MS Mincho"/>
          <w:lang w:val="en-US" w:eastAsia="ja-JP"/>
        </w:rPr>
        <w:t xml:space="preserve">cases negative as the BH link distance </w:t>
      </w:r>
      <w:r w:rsidR="00447827">
        <w:rPr>
          <w:rFonts w:eastAsia="MS Mincho"/>
          <w:lang w:val="en-US" w:eastAsia="ja-JP"/>
        </w:rPr>
        <w:t xml:space="preserve">typically </w:t>
      </w:r>
      <w:r w:rsidR="00EE29DB">
        <w:rPr>
          <w:rFonts w:eastAsia="MS Mincho"/>
          <w:lang w:val="en-US" w:eastAsia="ja-JP"/>
        </w:rPr>
        <w:t xml:space="preserve">will be larger than the cell radius of the IAB cell. Also, only the cell edge UEs will have the largest TA value </w:t>
      </w:r>
      <w:r w:rsidR="00447827">
        <w:rPr>
          <w:rFonts w:eastAsia="MS Mincho"/>
          <w:lang w:val="en-US" w:eastAsia="ja-JP"/>
        </w:rPr>
        <w:t>within the cell. The other UEs</w:t>
      </w:r>
      <w:r w:rsidR="00EE29DB">
        <w:rPr>
          <w:rFonts w:eastAsia="MS Mincho"/>
          <w:lang w:val="en-US" w:eastAsia="ja-JP"/>
        </w:rPr>
        <w:t xml:space="preserve"> have </w:t>
      </w:r>
      <w:r w:rsidR="00447827">
        <w:rPr>
          <w:rFonts w:eastAsia="MS Mincho"/>
          <w:lang w:val="en-US" w:eastAsia="ja-JP"/>
        </w:rPr>
        <w:t xml:space="preserve">smaller propagation delays resulting in </w:t>
      </w:r>
      <w:r w:rsidR="00642913">
        <w:rPr>
          <w:rFonts w:eastAsia="MS Mincho"/>
          <w:lang w:val="en-US" w:eastAsia="ja-JP"/>
        </w:rPr>
        <w:t xml:space="preserve">an </w:t>
      </w:r>
      <w:r w:rsidR="00447827">
        <w:rPr>
          <w:rFonts w:eastAsia="MS Mincho"/>
          <w:lang w:val="en-US" w:eastAsia="ja-JP"/>
        </w:rPr>
        <w:t>increased</w:t>
      </w:r>
      <w:r w:rsidR="00EE29DB">
        <w:rPr>
          <w:rFonts w:eastAsia="MS Mincho"/>
          <w:lang w:val="en-US" w:eastAsia="ja-JP"/>
        </w:rPr>
        <w:t xml:space="preserve"> probability for negative TA</w:t>
      </w:r>
      <w:r w:rsidR="00EE29DB" w:rsidRPr="00EE29DB">
        <w:rPr>
          <w:rFonts w:eastAsia="MS Mincho"/>
          <w:vertAlign w:val="subscript"/>
          <w:lang w:val="en-US" w:eastAsia="ja-JP"/>
        </w:rPr>
        <w:t>UE</w:t>
      </w:r>
      <w:r w:rsidR="00EE29DB">
        <w:rPr>
          <w:rFonts w:eastAsia="MS Mincho"/>
          <w:lang w:val="en-US" w:eastAsia="ja-JP"/>
        </w:rPr>
        <w:t xml:space="preserve"> values.</w:t>
      </w:r>
    </w:p>
    <w:p w14:paraId="7BCBC037" w14:textId="296189B6" w:rsidR="00EE29DB" w:rsidRDefault="00EE29DB" w:rsidP="00C66C26">
      <w:pPr>
        <w:spacing w:after="0"/>
        <w:jc w:val="both"/>
        <w:rPr>
          <w:rFonts w:eastAsia="MS Mincho"/>
          <w:lang w:val="en-US" w:eastAsia="ja-JP"/>
        </w:rPr>
      </w:pPr>
      <w:r>
        <w:rPr>
          <w:rFonts w:eastAsia="MS Mincho"/>
          <w:lang w:val="en-US" w:eastAsia="ja-JP"/>
        </w:rPr>
        <w:t>Another issue is th</w:t>
      </w:r>
      <w:r w:rsidR="00CB1B90">
        <w:rPr>
          <w:rFonts w:eastAsia="MS Mincho"/>
          <w:lang w:val="en-US" w:eastAsia="ja-JP"/>
        </w:rPr>
        <w:t>at</w:t>
      </w:r>
      <w:r w:rsidR="003A1F6B">
        <w:rPr>
          <w:rFonts w:eastAsia="MS Mincho"/>
          <w:lang w:val="en-US" w:eastAsia="ja-JP"/>
        </w:rPr>
        <w:t>,</w:t>
      </w:r>
      <w:r>
        <w:rPr>
          <w:rFonts w:eastAsia="MS Mincho"/>
          <w:lang w:val="en-US" w:eastAsia="ja-JP"/>
        </w:rPr>
        <w:t xml:space="preserve"> </w:t>
      </w:r>
      <w:r w:rsidR="00CB1B90">
        <w:rPr>
          <w:rFonts w:eastAsia="MS Mincho"/>
          <w:lang w:val="en-US" w:eastAsia="ja-JP"/>
        </w:rPr>
        <w:t>according to Rel. 15 specification</w:t>
      </w:r>
      <w:r w:rsidR="003A1F6B">
        <w:rPr>
          <w:rFonts w:eastAsia="MS Mincho"/>
          <w:lang w:val="en-US" w:eastAsia="ja-JP"/>
        </w:rPr>
        <w:t>,</w:t>
      </w:r>
      <w:r w:rsidR="00CB1B90">
        <w:rPr>
          <w:rFonts w:eastAsia="MS Mincho"/>
          <w:lang w:val="en-US" w:eastAsia="ja-JP"/>
        </w:rPr>
        <w:t xml:space="preserve"> </w:t>
      </w:r>
      <w:r>
        <w:rPr>
          <w:rFonts w:eastAsia="MS Mincho"/>
          <w:lang w:val="en-US" w:eastAsia="ja-JP"/>
        </w:rPr>
        <w:t>UE</w:t>
      </w:r>
      <w:r w:rsidR="00CB1B90">
        <w:rPr>
          <w:rFonts w:eastAsia="MS Mincho"/>
          <w:lang w:val="en-US" w:eastAsia="ja-JP"/>
        </w:rPr>
        <w:t>’s preambles and the first PUSCH transmission</w:t>
      </w:r>
      <w:r w:rsidR="003A1F6B">
        <w:rPr>
          <w:rFonts w:eastAsia="MS Mincho"/>
          <w:lang w:val="en-US" w:eastAsia="ja-JP"/>
        </w:rPr>
        <w:t xml:space="preserve"> (random access Message 3)</w:t>
      </w:r>
      <w:r w:rsidR="00CB1B90">
        <w:rPr>
          <w:rFonts w:eastAsia="MS Mincho"/>
          <w:lang w:val="en-US" w:eastAsia="ja-JP"/>
        </w:rPr>
        <w:t xml:space="preserve"> cannot be </w:t>
      </w:r>
      <w:r w:rsidR="003A1F6B">
        <w:rPr>
          <w:rFonts w:eastAsia="MS Mincho"/>
          <w:lang w:val="en-US" w:eastAsia="ja-JP"/>
        </w:rPr>
        <w:t>sent with negative timing advance.</w:t>
      </w:r>
      <w:r>
        <w:rPr>
          <w:rFonts w:eastAsia="MS Mincho"/>
          <w:lang w:val="en-US" w:eastAsia="ja-JP"/>
        </w:rPr>
        <w:t xml:space="preserve"> </w:t>
      </w:r>
      <w:r w:rsidR="003A1F6B">
        <w:rPr>
          <w:rFonts w:eastAsia="MS Mincho"/>
          <w:lang w:val="en-US" w:eastAsia="ja-JP"/>
        </w:rPr>
        <w:t>T</w:t>
      </w:r>
      <w:r w:rsidR="00420A7A">
        <w:rPr>
          <w:rFonts w:eastAsia="MS Mincho"/>
          <w:lang w:val="en-US" w:eastAsia="ja-JP"/>
        </w:rPr>
        <w:t>he UE transmission timing is specified to be the observ</w:t>
      </w:r>
      <w:r w:rsidR="00E344B7">
        <w:rPr>
          <w:rFonts w:eastAsia="MS Mincho"/>
          <w:lang w:val="en-US" w:eastAsia="ja-JP"/>
        </w:rPr>
        <w:t xml:space="preserve">ed DL </w:t>
      </w:r>
      <w:r w:rsidR="00420A7A">
        <w:rPr>
          <w:rFonts w:eastAsia="MS Mincho"/>
          <w:lang w:val="en-US" w:eastAsia="ja-JP"/>
        </w:rPr>
        <w:t xml:space="preserve">timing minus </w:t>
      </w:r>
      <w:r w:rsidR="00420A7A" w:rsidRPr="002B507C">
        <w:rPr>
          <w:position w:val="-10"/>
        </w:rPr>
        <w:object w:dxaOrig="1800" w:dyaOrig="300" w14:anchorId="36C0C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75pt;height:15.05pt" o:ole="">
            <v:imagedata r:id="rId17" o:title=""/>
          </v:shape>
          <o:OLEObject Type="Embed" ProgID="Equation.3" ShapeID="_x0000_i1025" DrawAspect="Content" ObjectID="_1595416913" r:id="rId18"/>
        </w:object>
      </w:r>
      <w:r w:rsidR="003A1F6B">
        <w:t>. Here</w:t>
      </w:r>
      <w:r w:rsidR="00420A7A">
        <w:rPr>
          <w:rFonts w:eastAsia="MS Mincho"/>
          <w:lang w:val="en-US" w:eastAsia="ja-JP"/>
        </w:rPr>
        <w:t xml:space="preserve"> </w:t>
      </w:r>
      <m:oMath>
        <m:sSub>
          <m:sSubPr>
            <m:ctrlPr>
              <w:rPr>
                <w:rFonts w:ascii="Cambria Math" w:eastAsia="MS Mincho" w:hAnsi="Cambria Math"/>
                <w:i/>
                <w:lang w:val="en-US" w:eastAsia="ja-JP"/>
              </w:rPr>
            </m:ctrlPr>
          </m:sSubPr>
          <m:e>
            <m:r>
              <w:rPr>
                <w:rFonts w:ascii="Cambria Math" w:eastAsia="MS Mincho" w:hAnsi="Cambria Math"/>
                <w:lang w:val="en-US" w:eastAsia="ja-JP"/>
              </w:rPr>
              <m:t>N</m:t>
            </m:r>
          </m:e>
          <m:sub>
            <m:r>
              <w:rPr>
                <w:rFonts w:ascii="Cambria Math" w:eastAsia="MS Mincho" w:hAnsi="Cambria Math"/>
                <w:lang w:val="en-US" w:eastAsia="ja-JP"/>
              </w:rPr>
              <m:t>TA</m:t>
            </m:r>
          </m:sub>
        </m:sSub>
      </m:oMath>
      <w:r w:rsidR="00E344B7">
        <w:rPr>
          <w:rFonts w:eastAsia="MS Mincho"/>
          <w:lang w:val="en-US" w:eastAsia="ja-JP"/>
        </w:rPr>
        <w:t xml:space="preserve"> is timing advance that is zero for random access preambles and zero or posit</w:t>
      </w:r>
      <w:r w:rsidR="003A1F6B">
        <w:rPr>
          <w:rFonts w:eastAsia="MS Mincho"/>
          <w:lang w:val="en-US" w:eastAsia="ja-JP"/>
        </w:rPr>
        <w:t xml:space="preserve">ive for random access Message 3 according to the value given in the preamble response. </w:t>
      </w:r>
      <m:oMath>
        <m:sSub>
          <m:sSubPr>
            <m:ctrlPr>
              <w:rPr>
                <w:rFonts w:ascii="Cambria Math" w:eastAsia="MS Mincho" w:hAnsi="Cambria Math"/>
                <w:i/>
                <w:lang w:val="en-US" w:eastAsia="ja-JP"/>
              </w:rPr>
            </m:ctrlPr>
          </m:sSubPr>
          <m:e>
            <m:r>
              <w:rPr>
                <w:rFonts w:ascii="Cambria Math" w:eastAsia="MS Mincho" w:hAnsi="Cambria Math"/>
                <w:lang w:val="en-US" w:eastAsia="ja-JP"/>
              </w:rPr>
              <m:t>N</m:t>
            </m:r>
          </m:e>
          <m:sub>
            <m:r>
              <w:rPr>
                <w:rFonts w:ascii="Cambria Math" w:eastAsia="MS Mincho" w:hAnsi="Cambria Math"/>
                <w:lang w:val="en-US" w:eastAsia="ja-JP"/>
              </w:rPr>
              <m:t>TAoffset</m:t>
            </m:r>
          </m:sub>
        </m:sSub>
      </m:oMath>
      <w:r w:rsidR="00356BE8">
        <w:rPr>
          <w:rFonts w:eastAsia="MS Mincho"/>
          <w:lang w:val="en-US" w:eastAsia="ja-JP"/>
        </w:rPr>
        <w:t xml:space="preserve"> is </w:t>
      </w:r>
      <w:r w:rsidR="007F6DF2">
        <w:rPr>
          <w:rFonts w:eastAsia="MS Mincho"/>
          <w:lang w:val="en-US" w:eastAsia="ja-JP"/>
        </w:rPr>
        <w:t xml:space="preserve">a </w:t>
      </w:r>
      <w:r w:rsidR="008F7E83">
        <w:rPr>
          <w:rFonts w:eastAsia="MS Mincho"/>
          <w:lang w:val="en-US" w:eastAsia="ja-JP"/>
        </w:rPr>
        <w:t>non-negative</w:t>
      </w:r>
      <w:r w:rsidR="003A1F6B">
        <w:rPr>
          <w:rFonts w:eastAsia="MS Mincho"/>
          <w:lang w:val="en-US" w:eastAsia="ja-JP"/>
        </w:rPr>
        <w:t xml:space="preserve"> cons</w:t>
      </w:r>
      <w:r w:rsidR="008F7E83">
        <w:rPr>
          <w:rFonts w:eastAsia="MS Mincho"/>
          <w:lang w:val="en-US" w:eastAsia="ja-JP"/>
        </w:rPr>
        <w:t>tant given in the specification.</w:t>
      </w:r>
      <w:r w:rsidR="007F6DF2">
        <w:rPr>
          <w:rFonts w:eastAsia="MS Mincho"/>
          <w:lang w:val="en-US" w:eastAsia="ja-JP"/>
        </w:rPr>
        <w:t xml:space="preserve"> After random access Message 3, </w:t>
      </w:r>
      <m:oMath>
        <m:sSub>
          <m:sSubPr>
            <m:ctrlPr>
              <w:rPr>
                <w:rFonts w:ascii="Cambria Math" w:eastAsia="MS Mincho" w:hAnsi="Cambria Math"/>
                <w:i/>
                <w:lang w:val="en-US" w:eastAsia="ja-JP"/>
              </w:rPr>
            </m:ctrlPr>
          </m:sSubPr>
          <m:e>
            <m:r>
              <w:rPr>
                <w:rFonts w:ascii="Cambria Math" w:eastAsia="MS Mincho" w:hAnsi="Cambria Math"/>
                <w:lang w:val="en-US" w:eastAsia="ja-JP"/>
              </w:rPr>
              <m:t>N</m:t>
            </m:r>
          </m:e>
          <m:sub>
            <m:r>
              <w:rPr>
                <w:rFonts w:ascii="Cambria Math" w:eastAsia="MS Mincho" w:hAnsi="Cambria Math"/>
                <w:lang w:val="en-US" w:eastAsia="ja-JP"/>
              </w:rPr>
              <m:t>TA</m:t>
            </m:r>
          </m:sub>
        </m:sSub>
      </m:oMath>
      <w:r w:rsidR="007F6DF2">
        <w:rPr>
          <w:rFonts w:eastAsia="MS Mincho"/>
          <w:lang w:val="en-US" w:eastAsia="ja-JP"/>
        </w:rPr>
        <w:t xml:space="preserve"> could be made </w:t>
      </w:r>
      <w:r w:rsidR="00DA117C">
        <w:rPr>
          <w:rFonts w:eastAsia="MS Mincho"/>
          <w:lang w:val="en-US" w:eastAsia="ja-JP"/>
        </w:rPr>
        <w:t xml:space="preserve">gradually </w:t>
      </w:r>
      <w:r w:rsidR="007F6DF2">
        <w:rPr>
          <w:rFonts w:eastAsia="MS Mincho"/>
          <w:lang w:val="en-US" w:eastAsia="ja-JP"/>
        </w:rPr>
        <w:t>negative</w:t>
      </w:r>
      <w:r w:rsidR="008F7E83">
        <w:rPr>
          <w:rFonts w:eastAsia="MS Mincho"/>
          <w:lang w:val="en-US" w:eastAsia="ja-JP"/>
        </w:rPr>
        <w:t xml:space="preserve"> </w:t>
      </w:r>
      <w:r w:rsidR="00DA117C">
        <w:rPr>
          <w:rFonts w:eastAsia="MS Mincho"/>
          <w:lang w:val="en-US" w:eastAsia="ja-JP"/>
        </w:rPr>
        <w:t xml:space="preserve">enough </w:t>
      </w:r>
      <w:r w:rsidR="008F7E83">
        <w:rPr>
          <w:rFonts w:eastAsia="MS Mincho"/>
          <w:lang w:val="en-US" w:eastAsia="ja-JP"/>
        </w:rPr>
        <w:t>by accumulating negative TA commands</w:t>
      </w:r>
      <w:r w:rsidR="00DA117C">
        <w:rPr>
          <w:rFonts w:eastAsia="MS Mincho"/>
          <w:lang w:val="en-US" w:eastAsia="ja-JP"/>
        </w:rPr>
        <w:t xml:space="preserve"> but to have the correct timing from the beginning </w:t>
      </w:r>
      <m:oMath>
        <m:sSub>
          <m:sSubPr>
            <m:ctrlPr>
              <w:rPr>
                <w:rFonts w:ascii="Cambria Math" w:eastAsia="MS Mincho" w:hAnsi="Cambria Math"/>
                <w:i/>
                <w:lang w:val="en-US" w:eastAsia="ja-JP"/>
              </w:rPr>
            </m:ctrlPr>
          </m:sSubPr>
          <m:e>
            <m:r>
              <w:rPr>
                <w:rFonts w:ascii="Cambria Math" w:eastAsia="MS Mincho" w:hAnsi="Cambria Math"/>
                <w:lang w:val="en-US" w:eastAsia="ja-JP"/>
              </w:rPr>
              <m:t>N</m:t>
            </m:r>
          </m:e>
          <m:sub>
            <m:r>
              <w:rPr>
                <w:rFonts w:ascii="Cambria Math" w:eastAsia="MS Mincho" w:hAnsi="Cambria Math"/>
                <w:lang w:val="en-US" w:eastAsia="ja-JP"/>
              </w:rPr>
              <m:t>TAoffset</m:t>
            </m:r>
          </m:sub>
        </m:sSub>
      </m:oMath>
      <w:r w:rsidR="00DA117C">
        <w:rPr>
          <w:rFonts w:eastAsia="MS Mincho"/>
          <w:lang w:val="en-US" w:eastAsia="ja-JP"/>
        </w:rPr>
        <w:t xml:space="preserve"> should be configurable </w:t>
      </w:r>
      <w:r w:rsidR="00FA265A">
        <w:rPr>
          <w:rFonts w:eastAsia="MS Mincho"/>
          <w:lang w:val="en-US" w:eastAsia="ja-JP"/>
        </w:rPr>
        <w:t xml:space="preserve">in cell specific manner </w:t>
      </w:r>
      <w:r w:rsidR="00DA117C">
        <w:rPr>
          <w:rFonts w:eastAsia="MS Mincho"/>
          <w:lang w:val="en-US" w:eastAsia="ja-JP"/>
        </w:rPr>
        <w:t>to also negative values.</w:t>
      </w:r>
    </w:p>
    <w:p w14:paraId="62EE3903" w14:textId="680E030D" w:rsidR="00447827" w:rsidRDefault="00447827" w:rsidP="00F668FD">
      <w:pPr>
        <w:spacing w:after="0"/>
        <w:rPr>
          <w:rFonts w:eastAsia="MS Mincho"/>
          <w:lang w:val="en-US" w:eastAsia="ja-JP"/>
        </w:rPr>
      </w:pPr>
    </w:p>
    <w:p w14:paraId="2F3FF659" w14:textId="1DECD2AD" w:rsidR="003E2596" w:rsidRDefault="003E2596" w:rsidP="003E2596">
      <w:pPr>
        <w:rPr>
          <w:b/>
          <w:lang w:val="en-US"/>
        </w:rPr>
      </w:pPr>
      <w:r>
        <w:rPr>
          <w:b/>
          <w:lang w:val="en-US"/>
        </w:rPr>
        <w:t>Observation 2</w:t>
      </w:r>
      <w:r w:rsidRPr="003E2596">
        <w:rPr>
          <w:b/>
          <w:lang w:val="en-US"/>
        </w:rPr>
        <w:t>: Case</w:t>
      </w:r>
      <w:r>
        <w:rPr>
          <w:b/>
          <w:lang w:val="en-US"/>
        </w:rPr>
        <w:t xml:space="preserve">s #2 </w:t>
      </w:r>
      <w:r w:rsidR="006027CA">
        <w:rPr>
          <w:b/>
          <w:lang w:val="en-US"/>
        </w:rPr>
        <w:t>and</w:t>
      </w:r>
      <w:r>
        <w:rPr>
          <w:b/>
          <w:lang w:val="en-US"/>
        </w:rPr>
        <w:t xml:space="preserve"> #4</w:t>
      </w:r>
      <w:r w:rsidRPr="003E2596">
        <w:rPr>
          <w:b/>
          <w:lang w:val="en-US"/>
        </w:rPr>
        <w:t xml:space="preserve"> </w:t>
      </w:r>
      <w:r>
        <w:rPr>
          <w:b/>
          <w:lang w:val="en-US"/>
        </w:rPr>
        <w:t xml:space="preserve">lead to non-synchronous network where the timing </w:t>
      </w:r>
      <w:r w:rsidR="006E26D3">
        <w:rPr>
          <w:b/>
          <w:lang w:val="en-US"/>
        </w:rPr>
        <w:t>changes at each BH hop.</w:t>
      </w:r>
    </w:p>
    <w:p w14:paraId="553E5321" w14:textId="215AFC3C" w:rsidR="006E26D3" w:rsidRPr="003E2596" w:rsidRDefault="006E26D3" w:rsidP="003E2596">
      <w:pPr>
        <w:rPr>
          <w:b/>
          <w:lang w:val="en-US"/>
        </w:rPr>
      </w:pPr>
      <w:r>
        <w:rPr>
          <w:b/>
          <w:lang w:val="en-US"/>
        </w:rPr>
        <w:t>Observation 3: Case</w:t>
      </w:r>
      <w:r w:rsidR="006027CA">
        <w:rPr>
          <w:b/>
          <w:lang w:val="en-US"/>
        </w:rPr>
        <w:t xml:space="preserve">s #3 and </w:t>
      </w:r>
      <w:r>
        <w:rPr>
          <w:b/>
          <w:lang w:val="en-US"/>
        </w:rPr>
        <w:t xml:space="preserve">#4 </w:t>
      </w:r>
      <w:r w:rsidR="006027CA">
        <w:rPr>
          <w:b/>
          <w:lang w:val="en-US"/>
        </w:rPr>
        <w:t>c</w:t>
      </w:r>
      <w:r>
        <w:rPr>
          <w:b/>
          <w:lang w:val="en-US"/>
        </w:rPr>
        <w:t>ould lead to negative TA values for the access UEs which would be an issue with random access.</w:t>
      </w:r>
    </w:p>
    <w:p w14:paraId="3982B9B6" w14:textId="77777777" w:rsidR="008D4D01" w:rsidRDefault="008D4D01" w:rsidP="008D4D01">
      <w:pPr>
        <w:rPr>
          <w:b/>
          <w:u w:val="single"/>
          <w:lang w:val="en-US"/>
        </w:rPr>
      </w:pPr>
    </w:p>
    <w:p w14:paraId="5F0F516F" w14:textId="51067EA2" w:rsidR="008D4D01" w:rsidRDefault="008D4D01" w:rsidP="008D4D01">
      <w:pPr>
        <w:rPr>
          <w:lang w:val="en-US"/>
        </w:rPr>
      </w:pPr>
      <w:r w:rsidRPr="00CD37DA">
        <w:rPr>
          <w:b/>
          <w:u w:val="single"/>
          <w:lang w:val="en-US"/>
        </w:rPr>
        <w:t xml:space="preserve">Case </w:t>
      </w:r>
      <w:r>
        <w:rPr>
          <w:b/>
          <w:u w:val="single"/>
          <w:lang w:val="en-US"/>
        </w:rPr>
        <w:t>5</w:t>
      </w:r>
      <w:r w:rsidRPr="00CD37DA">
        <w:rPr>
          <w:lang w:val="en-US"/>
        </w:rPr>
        <w:t xml:space="preserve">: </w:t>
      </w:r>
      <w:r w:rsidRPr="008D4D01">
        <w:rPr>
          <w:lang w:val="en-US"/>
        </w:rPr>
        <w:t>Case 1 for access link timing and Case 4 for backhaul link timing within an IAB node in different time slots</w:t>
      </w:r>
    </w:p>
    <w:p w14:paraId="152BAB7E" w14:textId="200FEB87" w:rsidR="0003163F" w:rsidRDefault="00D17D32" w:rsidP="00CB3C8E">
      <w:pPr>
        <w:spacing w:after="0"/>
        <w:rPr>
          <w:rFonts w:eastAsia="MS Mincho"/>
          <w:lang w:val="en-US" w:eastAsia="ja-JP"/>
        </w:rPr>
      </w:pPr>
      <w:r>
        <w:rPr>
          <w:rFonts w:eastAsia="MS Mincho"/>
          <w:lang w:val="en-US" w:eastAsia="ja-JP"/>
        </w:rPr>
        <w:t>Case 5 is alternating communication between BH and access links in TDM ma</w:t>
      </w:r>
      <w:r w:rsidR="00486DAE">
        <w:rPr>
          <w:rFonts w:eastAsia="MS Mincho"/>
          <w:lang w:val="en-US" w:eastAsia="ja-JP"/>
        </w:rPr>
        <w:t>nner. Fig.2 illustrates the two-</w:t>
      </w:r>
      <w:r>
        <w:rPr>
          <w:rFonts w:eastAsia="MS Mincho"/>
          <w:lang w:val="en-US" w:eastAsia="ja-JP"/>
        </w:rPr>
        <w:t xml:space="preserve">slot usage for BH and </w:t>
      </w:r>
      <w:r w:rsidR="00816BA8">
        <w:rPr>
          <w:rFonts w:eastAsia="MS Mincho"/>
          <w:lang w:val="en-US" w:eastAsia="ja-JP"/>
        </w:rPr>
        <w:t xml:space="preserve">access, Slot#1 </w:t>
      </w:r>
      <w:r w:rsidR="00B145F4">
        <w:rPr>
          <w:rFonts w:eastAsia="MS Mincho"/>
          <w:lang w:val="en-US" w:eastAsia="ja-JP"/>
        </w:rPr>
        <w:t xml:space="preserve">(case 1) </w:t>
      </w:r>
      <w:r w:rsidR="00816BA8">
        <w:rPr>
          <w:rFonts w:eastAsia="MS Mincho"/>
          <w:lang w:val="en-US" w:eastAsia="ja-JP"/>
        </w:rPr>
        <w:t xml:space="preserve">for access and Slot#2 </w:t>
      </w:r>
      <w:r w:rsidR="00B145F4">
        <w:rPr>
          <w:rFonts w:eastAsia="MS Mincho"/>
          <w:lang w:val="en-US" w:eastAsia="ja-JP"/>
        </w:rPr>
        <w:t xml:space="preserve">(case 4) </w:t>
      </w:r>
      <w:r w:rsidR="00816BA8">
        <w:rPr>
          <w:rFonts w:eastAsia="MS Mincho"/>
          <w:lang w:val="en-US" w:eastAsia="ja-JP"/>
        </w:rPr>
        <w:t>for BH</w:t>
      </w:r>
      <w:r w:rsidR="00B145F4">
        <w:rPr>
          <w:rFonts w:eastAsia="MS Mincho"/>
          <w:lang w:val="en-US" w:eastAsia="ja-JP"/>
        </w:rPr>
        <w:t>, as depicted in Fig.1</w:t>
      </w:r>
      <w:r>
        <w:rPr>
          <w:rFonts w:eastAsia="MS Mincho"/>
          <w:lang w:val="en-US" w:eastAsia="ja-JP"/>
        </w:rPr>
        <w:t>.</w:t>
      </w:r>
    </w:p>
    <w:p w14:paraId="529EDC86" w14:textId="337EF57E" w:rsidR="00D17D32" w:rsidRDefault="00D17D32" w:rsidP="00CB3C8E">
      <w:pPr>
        <w:spacing w:after="0"/>
        <w:rPr>
          <w:rFonts w:eastAsia="MS Mincho"/>
          <w:lang w:val="en-US" w:eastAsia="ja-JP"/>
        </w:rPr>
      </w:pPr>
    </w:p>
    <w:p w14:paraId="289CC36F" w14:textId="0A82D1AE" w:rsidR="00D17D32" w:rsidRDefault="00D17D32" w:rsidP="00CB3C8E">
      <w:pPr>
        <w:spacing w:after="0"/>
        <w:rPr>
          <w:rFonts w:eastAsia="MS Mincho"/>
          <w:lang w:val="en-US" w:eastAsia="ja-JP"/>
        </w:rPr>
      </w:pPr>
      <w:r w:rsidRPr="00D17D32">
        <w:rPr>
          <w:noProof/>
        </w:rPr>
        <w:drawing>
          <wp:inline distT="0" distB="0" distL="0" distR="0" wp14:anchorId="1FAA9782" wp14:editId="7B293435">
            <wp:extent cx="2616792" cy="171961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53782" cy="1743926"/>
                    </a:xfrm>
                    <a:prstGeom prst="rect">
                      <a:avLst/>
                    </a:prstGeom>
                    <a:noFill/>
                    <a:ln>
                      <a:noFill/>
                    </a:ln>
                  </pic:spPr>
                </pic:pic>
              </a:graphicData>
            </a:graphic>
          </wp:inline>
        </w:drawing>
      </w:r>
      <w:r>
        <w:rPr>
          <w:rFonts w:eastAsia="MS Mincho"/>
          <w:lang w:val="en-US" w:eastAsia="ja-JP"/>
        </w:rPr>
        <w:tab/>
      </w:r>
      <w:r>
        <w:rPr>
          <w:rFonts w:eastAsia="MS Mincho"/>
          <w:lang w:val="en-US" w:eastAsia="ja-JP"/>
        </w:rPr>
        <w:tab/>
      </w:r>
      <w:r>
        <w:rPr>
          <w:rFonts w:eastAsia="MS Mincho"/>
          <w:lang w:val="en-US" w:eastAsia="ja-JP"/>
        </w:rPr>
        <w:tab/>
      </w:r>
      <w:r w:rsidRPr="00D17D32">
        <w:rPr>
          <w:noProof/>
        </w:rPr>
        <w:drawing>
          <wp:inline distT="0" distB="0" distL="0" distR="0" wp14:anchorId="592EB294" wp14:editId="2F8AD262">
            <wp:extent cx="2620370" cy="172197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57129" cy="1746126"/>
                    </a:xfrm>
                    <a:prstGeom prst="rect">
                      <a:avLst/>
                    </a:prstGeom>
                    <a:noFill/>
                    <a:ln>
                      <a:noFill/>
                    </a:ln>
                  </pic:spPr>
                </pic:pic>
              </a:graphicData>
            </a:graphic>
          </wp:inline>
        </w:drawing>
      </w:r>
    </w:p>
    <w:p w14:paraId="57B2B4CF" w14:textId="404D60FC" w:rsidR="00D17D32" w:rsidRDefault="00D17D32" w:rsidP="007022F2">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Slot timing for the two slot types, Slot#1 for access and Slot#2 for BH communication</w:t>
      </w:r>
    </w:p>
    <w:p w14:paraId="648AF5E3" w14:textId="5802B449" w:rsidR="00B145F4" w:rsidRDefault="00D17D32" w:rsidP="006A7EE9">
      <w:pPr>
        <w:jc w:val="both"/>
        <w:rPr>
          <w:lang w:val="en-US"/>
        </w:rPr>
      </w:pPr>
      <w:r>
        <w:rPr>
          <w:lang w:val="en-US"/>
        </w:rPr>
        <w:t xml:space="preserve">Dotted boxes indicate </w:t>
      </w:r>
      <w:r w:rsidR="00816BA8">
        <w:rPr>
          <w:lang w:val="en-US"/>
        </w:rPr>
        <w:t xml:space="preserve">unused TX and RX </w:t>
      </w:r>
      <w:r>
        <w:rPr>
          <w:lang w:val="en-US"/>
        </w:rPr>
        <w:t>slots and boxes with solid framing indicate active slots.</w:t>
      </w:r>
      <w:r w:rsidR="00B145F4">
        <w:rPr>
          <w:lang w:val="en-US"/>
        </w:rPr>
        <w:t xml:space="preserve"> Eliminating the unused slots, the end result would essentially become the same as the case#1. Hence, the case#5 can be considered as an extended definition of case#1 with TDM for access and backhaul – which is not excluded in case#1 either.</w:t>
      </w:r>
    </w:p>
    <w:p w14:paraId="7C51EC57" w14:textId="6DE4AECD" w:rsidR="003E2596" w:rsidRDefault="003E2596" w:rsidP="006A7EE9">
      <w:pPr>
        <w:jc w:val="both"/>
        <w:rPr>
          <w:lang w:val="en-US"/>
        </w:rPr>
      </w:pPr>
      <w:r>
        <w:rPr>
          <w:lang w:val="en-US"/>
        </w:rPr>
        <w:t>During the “access slots” also Donor or parent IAB node can be active on the access links on their own cells. The half-duplex constraint of the IAB node should also be kept in mind, i.e. the access/BH link TX and RX should be separated in time (not illustrated in the figures).</w:t>
      </w:r>
    </w:p>
    <w:p w14:paraId="201E5F57" w14:textId="731120CD" w:rsidR="00486DAE" w:rsidRPr="00A17159" w:rsidRDefault="00486DAE" w:rsidP="006A7EE9">
      <w:pPr>
        <w:jc w:val="both"/>
        <w:rPr>
          <w:lang w:val="en-US"/>
        </w:rPr>
      </w:pPr>
      <w:r>
        <w:rPr>
          <w:lang w:val="en-US"/>
        </w:rPr>
        <w:t xml:space="preserve">As noted above, similar time division for access and BH can be applied with the other cases as well. Therefore, the case 5 differs only by using </w:t>
      </w:r>
      <w:r w:rsidR="00816BA8">
        <w:rPr>
          <w:lang w:val="en-US"/>
        </w:rPr>
        <w:t>different timing option</w:t>
      </w:r>
    </w:p>
    <w:p w14:paraId="5977B51C" w14:textId="44D3C4E4" w:rsidR="00D17D32" w:rsidRDefault="006E26D3" w:rsidP="006A7EE9">
      <w:pPr>
        <w:jc w:val="both"/>
        <w:rPr>
          <w:lang w:val="en-US"/>
        </w:rPr>
      </w:pPr>
      <w:r>
        <w:rPr>
          <w:b/>
          <w:lang w:val="en-US"/>
        </w:rPr>
        <w:t>Observation 4: Case#5 is essentially the same as Case#1, just defining the time domain (different slots) separation of access and BH communication.</w:t>
      </w:r>
    </w:p>
    <w:p w14:paraId="05EF9845" w14:textId="77777777" w:rsidR="006E26D3" w:rsidRDefault="006E26D3" w:rsidP="00D17D32">
      <w:pPr>
        <w:rPr>
          <w:lang w:val="en-US"/>
        </w:rPr>
      </w:pPr>
    </w:p>
    <w:p w14:paraId="3C94B7E4" w14:textId="61427BF5" w:rsidR="0045097F" w:rsidRDefault="006A7EE9" w:rsidP="0045097F">
      <w:pPr>
        <w:pStyle w:val="Heading2"/>
        <w:rPr>
          <w:lang w:val="en-US"/>
        </w:rPr>
      </w:pPr>
      <w:r>
        <w:rPr>
          <w:lang w:val="en-US"/>
        </w:rPr>
        <w:t>2.2</w:t>
      </w:r>
      <w:r w:rsidR="0045097F">
        <w:rPr>
          <w:lang w:val="en-US"/>
        </w:rPr>
        <w:tab/>
        <w:t>Summary</w:t>
      </w:r>
    </w:p>
    <w:p w14:paraId="2EF08FDF" w14:textId="642A94E9" w:rsidR="00D17D32" w:rsidRDefault="0045097F" w:rsidP="00D17D32">
      <w:pPr>
        <w:rPr>
          <w:lang w:val="en-US"/>
        </w:rPr>
      </w:pPr>
      <w:r>
        <w:rPr>
          <w:lang w:val="en-US"/>
        </w:rPr>
        <w:t>Following table summarizes the characteristics of the IAB timing options as described above.</w:t>
      </w:r>
    </w:p>
    <w:tbl>
      <w:tblPr>
        <w:tblStyle w:val="TableGrid"/>
        <w:tblW w:w="9634" w:type="dxa"/>
        <w:tblLook w:val="04A0" w:firstRow="1" w:lastRow="0" w:firstColumn="1" w:lastColumn="0" w:noHBand="0" w:noVBand="1"/>
      </w:tblPr>
      <w:tblGrid>
        <w:gridCol w:w="605"/>
        <w:gridCol w:w="4370"/>
        <w:gridCol w:w="4659"/>
      </w:tblGrid>
      <w:tr w:rsidR="00816BA8" w14:paraId="7318F98E" w14:textId="77777777" w:rsidTr="00816BA8">
        <w:tc>
          <w:tcPr>
            <w:tcW w:w="562" w:type="dxa"/>
          </w:tcPr>
          <w:p w14:paraId="398C2E5C" w14:textId="116E9260" w:rsidR="00816BA8" w:rsidRDefault="00816BA8" w:rsidP="00816BA8">
            <w:pPr>
              <w:spacing w:after="0"/>
              <w:jc w:val="center"/>
              <w:rPr>
                <w:lang w:val="en-US"/>
              </w:rPr>
            </w:pPr>
            <w:r>
              <w:rPr>
                <w:lang w:val="en-US"/>
              </w:rPr>
              <w:lastRenderedPageBreak/>
              <w:t>Case</w:t>
            </w:r>
          </w:p>
        </w:tc>
        <w:tc>
          <w:tcPr>
            <w:tcW w:w="4395" w:type="dxa"/>
          </w:tcPr>
          <w:p w14:paraId="51DB4A59" w14:textId="2570D09C" w:rsidR="00816BA8" w:rsidRDefault="00816BA8" w:rsidP="0045097F">
            <w:pPr>
              <w:spacing w:after="0"/>
              <w:rPr>
                <w:lang w:val="en-US"/>
              </w:rPr>
            </w:pPr>
            <w:r>
              <w:rPr>
                <w:lang w:val="en-US"/>
              </w:rPr>
              <w:t>Benefits</w:t>
            </w:r>
          </w:p>
        </w:tc>
        <w:tc>
          <w:tcPr>
            <w:tcW w:w="4677" w:type="dxa"/>
          </w:tcPr>
          <w:p w14:paraId="64C02ABF" w14:textId="750C965F" w:rsidR="00816BA8" w:rsidRDefault="00816BA8" w:rsidP="0045097F">
            <w:pPr>
              <w:spacing w:after="0"/>
              <w:rPr>
                <w:lang w:val="en-US"/>
              </w:rPr>
            </w:pPr>
            <w:r>
              <w:rPr>
                <w:lang w:val="en-US"/>
              </w:rPr>
              <w:t>Drawbacks</w:t>
            </w:r>
          </w:p>
        </w:tc>
      </w:tr>
      <w:tr w:rsidR="00816BA8" w14:paraId="3162CDDF" w14:textId="77777777" w:rsidTr="00816BA8">
        <w:tc>
          <w:tcPr>
            <w:tcW w:w="562" w:type="dxa"/>
          </w:tcPr>
          <w:p w14:paraId="202AB8F8" w14:textId="3AEC560E" w:rsidR="00816BA8" w:rsidRDefault="00816BA8" w:rsidP="00816BA8">
            <w:pPr>
              <w:spacing w:after="0"/>
              <w:jc w:val="center"/>
              <w:rPr>
                <w:lang w:val="en-US"/>
              </w:rPr>
            </w:pPr>
            <w:r>
              <w:rPr>
                <w:lang w:val="en-US"/>
              </w:rPr>
              <w:t>#1</w:t>
            </w:r>
          </w:p>
        </w:tc>
        <w:tc>
          <w:tcPr>
            <w:tcW w:w="4395" w:type="dxa"/>
          </w:tcPr>
          <w:p w14:paraId="1DCD72F5" w14:textId="77777777" w:rsidR="00816BA8" w:rsidRPr="0045097F" w:rsidRDefault="00816BA8" w:rsidP="0045097F">
            <w:pPr>
              <w:spacing w:after="0"/>
              <w:rPr>
                <w:lang w:val="en-US"/>
              </w:rPr>
            </w:pPr>
            <w:r w:rsidRPr="0045097F">
              <w:rPr>
                <w:lang w:val="en-US"/>
              </w:rPr>
              <w:t>-</w:t>
            </w:r>
            <w:r w:rsidRPr="0045097F">
              <w:rPr>
                <w:lang w:val="en-US"/>
              </w:rPr>
              <w:tab/>
              <w:t>Results in normal cellular operation with non-IAB specific interference scenarios</w:t>
            </w:r>
          </w:p>
          <w:p w14:paraId="6DBFEE1A" w14:textId="77777777" w:rsidR="00816BA8" w:rsidRPr="0045097F" w:rsidRDefault="00816BA8" w:rsidP="0045097F">
            <w:pPr>
              <w:spacing w:after="0"/>
              <w:rPr>
                <w:lang w:val="en-US"/>
              </w:rPr>
            </w:pPr>
            <w:r w:rsidRPr="0045097F">
              <w:rPr>
                <w:lang w:val="en-US"/>
              </w:rPr>
              <w:t>-</w:t>
            </w:r>
            <w:r w:rsidRPr="0045097F">
              <w:rPr>
                <w:lang w:val="en-US"/>
              </w:rPr>
              <w:tab/>
              <w:t>IAB timing is not shifted in a multi-hop scenario, DL TX timing the same in all nodes</w:t>
            </w:r>
          </w:p>
          <w:p w14:paraId="2206C9A7" w14:textId="771E581F" w:rsidR="00816BA8" w:rsidRDefault="00816BA8" w:rsidP="0045097F">
            <w:pPr>
              <w:spacing w:after="0"/>
              <w:rPr>
                <w:lang w:val="en-US"/>
              </w:rPr>
            </w:pPr>
            <w:r w:rsidRPr="0045097F">
              <w:rPr>
                <w:lang w:val="en-US"/>
              </w:rPr>
              <w:t>-</w:t>
            </w:r>
            <w:r w:rsidRPr="0045097F">
              <w:rPr>
                <w:lang w:val="en-US"/>
              </w:rPr>
              <w:tab/>
              <w:t>Minimized changes when IAB operation changed to gNB (when wired BH provided)</w:t>
            </w:r>
          </w:p>
        </w:tc>
        <w:tc>
          <w:tcPr>
            <w:tcW w:w="4677" w:type="dxa"/>
          </w:tcPr>
          <w:p w14:paraId="7972D10C" w14:textId="0D58D429" w:rsidR="00816BA8" w:rsidRDefault="00816BA8" w:rsidP="0045097F">
            <w:pPr>
              <w:spacing w:after="0"/>
              <w:rPr>
                <w:lang w:val="en-US"/>
              </w:rPr>
            </w:pPr>
            <w:r w:rsidRPr="0045097F">
              <w:rPr>
                <w:lang w:val="en-US"/>
              </w:rPr>
              <w:t>-</w:t>
            </w:r>
            <w:r w:rsidRPr="0045097F">
              <w:rPr>
                <w:lang w:val="en-US"/>
              </w:rPr>
              <w:tab/>
              <w:t>Potential IAB node internal interference issues due to multiple timing, this may be alleviated</w:t>
            </w:r>
            <w:r>
              <w:rPr>
                <w:lang w:val="en-US"/>
              </w:rPr>
              <w:t xml:space="preserve"> by the usage of multiple antenna panels and/or RX/TX units</w:t>
            </w:r>
          </w:p>
        </w:tc>
      </w:tr>
      <w:tr w:rsidR="00816BA8" w14:paraId="14E4B9CA" w14:textId="77777777" w:rsidTr="00816BA8">
        <w:tc>
          <w:tcPr>
            <w:tcW w:w="562" w:type="dxa"/>
          </w:tcPr>
          <w:p w14:paraId="36809FA8" w14:textId="0F67137B" w:rsidR="00816BA8" w:rsidRDefault="00816BA8" w:rsidP="00816BA8">
            <w:pPr>
              <w:spacing w:after="0"/>
              <w:jc w:val="center"/>
              <w:rPr>
                <w:lang w:val="en-US"/>
              </w:rPr>
            </w:pPr>
            <w:r>
              <w:rPr>
                <w:lang w:val="en-US"/>
              </w:rPr>
              <w:t>#2</w:t>
            </w:r>
          </w:p>
        </w:tc>
        <w:tc>
          <w:tcPr>
            <w:tcW w:w="4395" w:type="dxa"/>
          </w:tcPr>
          <w:p w14:paraId="2AF1DC5E" w14:textId="77777777" w:rsidR="00816BA8" w:rsidRPr="0045097F" w:rsidRDefault="00816BA8" w:rsidP="0045097F">
            <w:pPr>
              <w:spacing w:after="0"/>
              <w:rPr>
                <w:lang w:val="en-US"/>
              </w:rPr>
            </w:pPr>
            <w:r w:rsidRPr="0045097F">
              <w:rPr>
                <w:lang w:val="en-US"/>
              </w:rPr>
              <w:t>-</w:t>
            </w:r>
            <w:r w:rsidRPr="0045097F">
              <w:rPr>
                <w:lang w:val="en-US"/>
              </w:rPr>
              <w:tab/>
              <w:t>Facilitates single panel TX and scheduling for both BH and access</w:t>
            </w:r>
          </w:p>
          <w:p w14:paraId="1B9FB973" w14:textId="77777777" w:rsidR="00816BA8" w:rsidRPr="0045097F" w:rsidRDefault="00816BA8" w:rsidP="0045097F">
            <w:pPr>
              <w:spacing w:after="0"/>
              <w:ind w:left="284"/>
              <w:rPr>
                <w:lang w:val="en-US"/>
              </w:rPr>
            </w:pPr>
            <w:r w:rsidRPr="0045097F">
              <w:rPr>
                <w:lang w:val="en-US"/>
              </w:rPr>
              <w:t>o</w:t>
            </w:r>
            <w:r w:rsidRPr="0045097F">
              <w:rPr>
                <w:lang w:val="en-US"/>
              </w:rPr>
              <w:tab/>
              <w:t>Signal dynamics to be considered, though</w:t>
            </w:r>
          </w:p>
          <w:p w14:paraId="7F79B9FB" w14:textId="599A2633" w:rsidR="00816BA8" w:rsidRDefault="00816BA8" w:rsidP="0045097F">
            <w:pPr>
              <w:spacing w:after="0"/>
              <w:rPr>
                <w:lang w:val="en-US"/>
              </w:rPr>
            </w:pPr>
            <w:r w:rsidRPr="0045097F">
              <w:rPr>
                <w:lang w:val="en-US"/>
              </w:rPr>
              <w:t>-</w:t>
            </w:r>
            <w:r w:rsidRPr="0045097F">
              <w:rPr>
                <w:lang w:val="en-US"/>
              </w:rPr>
              <w:tab/>
              <w:t>Somewhat simpler implementation of an IAB node</w:t>
            </w:r>
          </w:p>
        </w:tc>
        <w:tc>
          <w:tcPr>
            <w:tcW w:w="4677" w:type="dxa"/>
          </w:tcPr>
          <w:p w14:paraId="46912F2F" w14:textId="77777777" w:rsidR="00816BA8" w:rsidRPr="0045097F" w:rsidRDefault="00816BA8" w:rsidP="0045097F">
            <w:pPr>
              <w:spacing w:after="0"/>
              <w:rPr>
                <w:lang w:val="en-US"/>
              </w:rPr>
            </w:pPr>
            <w:r w:rsidRPr="0045097F">
              <w:rPr>
                <w:lang w:val="en-US"/>
              </w:rPr>
              <w:t>-</w:t>
            </w:r>
            <w:r w:rsidRPr="0045097F">
              <w:rPr>
                <w:lang w:val="en-US"/>
              </w:rPr>
              <w:tab/>
              <w:t>For the access UEs, network cannot be viewed as synchronized; DL TX timing depends on the propagation delay over the BH link</w:t>
            </w:r>
          </w:p>
          <w:p w14:paraId="4ACBFE0F" w14:textId="77777777" w:rsidR="00816BA8" w:rsidRPr="0045097F" w:rsidRDefault="00816BA8" w:rsidP="0045097F">
            <w:pPr>
              <w:spacing w:after="0"/>
              <w:rPr>
                <w:lang w:val="en-US"/>
              </w:rPr>
            </w:pPr>
            <w:r w:rsidRPr="0045097F">
              <w:rPr>
                <w:lang w:val="en-US"/>
              </w:rPr>
              <w:t>-</w:t>
            </w:r>
            <w:r w:rsidRPr="0045097F">
              <w:rPr>
                <w:lang w:val="en-US"/>
              </w:rPr>
              <w:tab/>
              <w:t>Timing is shifted at each hop where the shift is an accumulated value of the propagation delay over all hops</w:t>
            </w:r>
          </w:p>
          <w:p w14:paraId="7BE0DD19" w14:textId="0EDE5314" w:rsidR="00816BA8" w:rsidRDefault="00816BA8" w:rsidP="0045097F">
            <w:pPr>
              <w:spacing w:after="0"/>
              <w:rPr>
                <w:lang w:val="en-US"/>
              </w:rPr>
            </w:pPr>
            <w:r w:rsidRPr="0045097F">
              <w:rPr>
                <w:lang w:val="en-US"/>
              </w:rPr>
              <w:t>-</w:t>
            </w:r>
            <w:r w:rsidRPr="0045097F">
              <w:rPr>
                <w:lang w:val="en-US"/>
              </w:rPr>
              <w:tab/>
              <w:t>More complex implementation/configuration of dual connectivity when the serving nodes are of different hierarchy level of the IAB topology (different number of hops)</w:t>
            </w:r>
          </w:p>
        </w:tc>
      </w:tr>
      <w:tr w:rsidR="00816BA8" w14:paraId="23C02F1E" w14:textId="77777777" w:rsidTr="00816BA8">
        <w:tc>
          <w:tcPr>
            <w:tcW w:w="562" w:type="dxa"/>
          </w:tcPr>
          <w:p w14:paraId="25B83042" w14:textId="748B22BC" w:rsidR="00816BA8" w:rsidRDefault="00816BA8" w:rsidP="00816BA8">
            <w:pPr>
              <w:spacing w:after="0"/>
              <w:jc w:val="center"/>
              <w:rPr>
                <w:lang w:val="en-US"/>
              </w:rPr>
            </w:pPr>
            <w:r>
              <w:rPr>
                <w:lang w:val="en-US"/>
              </w:rPr>
              <w:t>#3</w:t>
            </w:r>
          </w:p>
        </w:tc>
        <w:tc>
          <w:tcPr>
            <w:tcW w:w="4395" w:type="dxa"/>
          </w:tcPr>
          <w:p w14:paraId="26201E75" w14:textId="59504677" w:rsidR="00816BA8" w:rsidRDefault="00816BA8" w:rsidP="0045097F">
            <w:pPr>
              <w:spacing w:after="0"/>
              <w:rPr>
                <w:lang w:val="en-US"/>
              </w:rPr>
            </w:pPr>
            <w:r w:rsidRPr="0045097F">
              <w:rPr>
                <w:lang w:val="en-US"/>
              </w:rPr>
              <w:t>-</w:t>
            </w:r>
            <w:r w:rsidRPr="0045097F">
              <w:rPr>
                <w:lang w:val="en-US"/>
              </w:rPr>
              <w:tab/>
              <w:t>Eliminates excessive interference due to timing differences on access and BH links; e.g. when the difference exceeds the CP length. Differences in the signal levels may have to be considered, though.</w:t>
            </w:r>
          </w:p>
        </w:tc>
        <w:tc>
          <w:tcPr>
            <w:tcW w:w="4677" w:type="dxa"/>
          </w:tcPr>
          <w:p w14:paraId="38934547" w14:textId="04BFDF62" w:rsidR="008B360E" w:rsidRDefault="00816BA8" w:rsidP="0045097F">
            <w:pPr>
              <w:spacing w:after="0"/>
              <w:rPr>
                <w:lang w:val="en-US"/>
              </w:rPr>
            </w:pPr>
            <w:r w:rsidRPr="0045097F">
              <w:rPr>
                <w:lang w:val="en-US"/>
              </w:rPr>
              <w:t>-</w:t>
            </w:r>
            <w:r w:rsidRPr="0045097F">
              <w:rPr>
                <w:lang w:val="en-US"/>
              </w:rPr>
              <w:tab/>
            </w:r>
            <w:r w:rsidR="008B360E">
              <w:rPr>
                <w:lang w:val="en-US"/>
              </w:rPr>
              <w:t>Would allow alignment of DL TX but would require usage of negative TA values</w:t>
            </w:r>
          </w:p>
          <w:p w14:paraId="393D371C" w14:textId="3A31D385" w:rsidR="00816BA8" w:rsidRDefault="008B360E" w:rsidP="0045097F">
            <w:pPr>
              <w:spacing w:after="0"/>
              <w:rPr>
                <w:lang w:val="en-US"/>
              </w:rPr>
            </w:pPr>
            <w:r>
              <w:rPr>
                <w:lang w:val="en-US"/>
              </w:rPr>
              <w:t>-  In non-synchronous operation, same issues as in case 2.</w:t>
            </w:r>
          </w:p>
        </w:tc>
      </w:tr>
      <w:tr w:rsidR="00816BA8" w14:paraId="4FD5BFAE" w14:textId="77777777" w:rsidTr="00816BA8">
        <w:tc>
          <w:tcPr>
            <w:tcW w:w="562" w:type="dxa"/>
          </w:tcPr>
          <w:p w14:paraId="1EDC56C3" w14:textId="294BA6CC" w:rsidR="00816BA8" w:rsidRDefault="00816BA8" w:rsidP="00816BA8">
            <w:pPr>
              <w:spacing w:after="0"/>
              <w:jc w:val="center"/>
              <w:rPr>
                <w:lang w:val="en-US"/>
              </w:rPr>
            </w:pPr>
            <w:r>
              <w:rPr>
                <w:lang w:val="en-US"/>
              </w:rPr>
              <w:t>#4</w:t>
            </w:r>
          </w:p>
        </w:tc>
        <w:tc>
          <w:tcPr>
            <w:tcW w:w="4395" w:type="dxa"/>
          </w:tcPr>
          <w:p w14:paraId="05F9278C" w14:textId="0D377074" w:rsidR="00816BA8" w:rsidRDefault="00816BA8" w:rsidP="0045097F">
            <w:pPr>
              <w:spacing w:after="0"/>
              <w:rPr>
                <w:lang w:val="en-US"/>
              </w:rPr>
            </w:pPr>
            <w:r w:rsidRPr="0045097F">
              <w:rPr>
                <w:lang w:val="en-US"/>
              </w:rPr>
              <w:t>-</w:t>
            </w:r>
            <w:r w:rsidRPr="0045097F">
              <w:rPr>
                <w:lang w:val="en-US"/>
              </w:rPr>
              <w:tab/>
              <w:t>Single timing for TX an RX within the IAB node (except random access)</w:t>
            </w:r>
          </w:p>
        </w:tc>
        <w:tc>
          <w:tcPr>
            <w:tcW w:w="4677" w:type="dxa"/>
          </w:tcPr>
          <w:p w14:paraId="6FA15635" w14:textId="77777777" w:rsidR="00816BA8" w:rsidRPr="0045097F" w:rsidRDefault="00816BA8" w:rsidP="0045097F">
            <w:pPr>
              <w:spacing w:after="0"/>
              <w:rPr>
                <w:lang w:val="en-US"/>
              </w:rPr>
            </w:pPr>
            <w:r w:rsidRPr="0045097F">
              <w:rPr>
                <w:lang w:val="en-US"/>
              </w:rPr>
              <w:t>-</w:t>
            </w:r>
            <w:r w:rsidRPr="0045097F">
              <w:rPr>
                <w:lang w:val="en-US"/>
              </w:rPr>
              <w:tab/>
              <w:t>Required negative TA cannot be applied for random access</w:t>
            </w:r>
          </w:p>
          <w:p w14:paraId="426EDBE2" w14:textId="1B75184E" w:rsidR="00816BA8" w:rsidRDefault="00816BA8" w:rsidP="0045097F">
            <w:pPr>
              <w:spacing w:after="0"/>
              <w:rPr>
                <w:lang w:val="en-US"/>
              </w:rPr>
            </w:pPr>
            <w:r w:rsidRPr="0045097F">
              <w:rPr>
                <w:lang w:val="en-US"/>
              </w:rPr>
              <w:t>-</w:t>
            </w:r>
            <w:r w:rsidRPr="0045097F">
              <w:rPr>
                <w:lang w:val="en-US"/>
              </w:rPr>
              <w:tab/>
              <w:t>Otherwise same issues as with cases 2 and 3</w:t>
            </w:r>
          </w:p>
        </w:tc>
      </w:tr>
      <w:tr w:rsidR="00816BA8" w14:paraId="6B2E82EB" w14:textId="77777777" w:rsidTr="00816BA8">
        <w:tc>
          <w:tcPr>
            <w:tcW w:w="562" w:type="dxa"/>
          </w:tcPr>
          <w:p w14:paraId="5627512C" w14:textId="066B8EE6" w:rsidR="00816BA8" w:rsidRDefault="00816BA8" w:rsidP="00816BA8">
            <w:pPr>
              <w:spacing w:after="0"/>
              <w:jc w:val="center"/>
              <w:rPr>
                <w:lang w:val="en-US"/>
              </w:rPr>
            </w:pPr>
            <w:r>
              <w:rPr>
                <w:lang w:val="en-US"/>
              </w:rPr>
              <w:t>#5</w:t>
            </w:r>
          </w:p>
        </w:tc>
        <w:tc>
          <w:tcPr>
            <w:tcW w:w="4395" w:type="dxa"/>
          </w:tcPr>
          <w:p w14:paraId="4D3E37BB" w14:textId="77777777" w:rsidR="00816BA8" w:rsidRPr="00CD3CBE" w:rsidRDefault="00816BA8" w:rsidP="00CD3CBE">
            <w:pPr>
              <w:spacing w:after="0"/>
              <w:rPr>
                <w:lang w:val="en-US"/>
              </w:rPr>
            </w:pPr>
            <w:r w:rsidRPr="00CD3CBE">
              <w:rPr>
                <w:lang w:val="en-US"/>
              </w:rPr>
              <w:t>-</w:t>
            </w:r>
            <w:r w:rsidRPr="00CD3CBE">
              <w:rPr>
                <w:lang w:val="en-US"/>
              </w:rPr>
              <w:tab/>
              <w:t>Synchronized network form the UE point of view, also in a multi-hop scenario</w:t>
            </w:r>
          </w:p>
          <w:p w14:paraId="3D61F275" w14:textId="66ECECAE" w:rsidR="00816BA8" w:rsidRDefault="00816BA8" w:rsidP="00CD3CBE">
            <w:pPr>
              <w:spacing w:after="0"/>
              <w:rPr>
                <w:lang w:val="en-US"/>
              </w:rPr>
            </w:pPr>
            <w:r w:rsidRPr="00CD3CBE">
              <w:rPr>
                <w:lang w:val="en-US"/>
              </w:rPr>
              <w:t>-</w:t>
            </w:r>
            <w:r w:rsidRPr="00CD3CBE">
              <w:rPr>
                <w:lang w:val="en-US"/>
              </w:rPr>
              <w:tab/>
              <w:t>Different TX and RX timing separated in time at the IAB node, some implementation and interference issues eliminated</w:t>
            </w:r>
          </w:p>
        </w:tc>
        <w:tc>
          <w:tcPr>
            <w:tcW w:w="4677" w:type="dxa"/>
          </w:tcPr>
          <w:p w14:paraId="11350FC0" w14:textId="6873E381" w:rsidR="00B145F4" w:rsidRDefault="00816BA8" w:rsidP="00B145F4">
            <w:pPr>
              <w:spacing w:after="0"/>
              <w:rPr>
                <w:lang w:val="en-US"/>
              </w:rPr>
            </w:pPr>
            <w:r w:rsidRPr="00CD3CBE">
              <w:rPr>
                <w:lang w:val="en-US"/>
              </w:rPr>
              <w:t>-</w:t>
            </w:r>
            <w:r w:rsidRPr="00CD3CBE">
              <w:rPr>
                <w:lang w:val="en-US"/>
              </w:rPr>
              <w:tab/>
            </w:r>
            <w:r w:rsidR="00B145F4">
              <w:rPr>
                <w:lang w:val="en-US"/>
              </w:rPr>
              <w:t>Same as with case#1</w:t>
            </w:r>
          </w:p>
          <w:p w14:paraId="719F3470" w14:textId="7ACB2AC2" w:rsidR="00816BA8" w:rsidRDefault="00816BA8" w:rsidP="00CD3CBE">
            <w:pPr>
              <w:spacing w:after="0"/>
              <w:rPr>
                <w:lang w:val="en-US"/>
              </w:rPr>
            </w:pPr>
          </w:p>
        </w:tc>
      </w:tr>
    </w:tbl>
    <w:p w14:paraId="509F8D81" w14:textId="281DBDFA" w:rsidR="0045097F" w:rsidRDefault="0045097F" w:rsidP="00D17D32">
      <w:pPr>
        <w:rPr>
          <w:lang w:val="en-US"/>
        </w:rPr>
      </w:pPr>
    </w:p>
    <w:p w14:paraId="469ECE27" w14:textId="4458C184" w:rsidR="003E2596" w:rsidRDefault="003E2596" w:rsidP="006A7EE9">
      <w:pPr>
        <w:spacing w:after="60"/>
        <w:jc w:val="both"/>
        <w:rPr>
          <w:lang w:val="en-US"/>
        </w:rPr>
      </w:pPr>
      <w:r>
        <w:rPr>
          <w:lang w:val="en-US"/>
        </w:rPr>
        <w:t>Separating BH and access links in TDM manner, there will be potential overlap between consecutive slots which should be taken into account in the scheduling, this applies to all cases:</w:t>
      </w:r>
    </w:p>
    <w:p w14:paraId="5557957E" w14:textId="77777777" w:rsidR="003E2596" w:rsidRPr="00A17159" w:rsidRDefault="003E2596" w:rsidP="006A7EE9">
      <w:pPr>
        <w:pStyle w:val="ListParagraph"/>
        <w:numPr>
          <w:ilvl w:val="0"/>
          <w:numId w:val="42"/>
        </w:numPr>
        <w:jc w:val="both"/>
        <w:rPr>
          <w:sz w:val="20"/>
          <w:szCs w:val="20"/>
          <w:lang w:val="en-US" w:eastAsia="en-US"/>
        </w:rPr>
      </w:pPr>
      <w:r w:rsidRPr="00A17159">
        <w:rPr>
          <w:sz w:val="20"/>
          <w:szCs w:val="20"/>
          <w:lang w:val="en-US" w:eastAsia="en-US"/>
        </w:rPr>
        <w:t>IAB BH UL TX may overlap with the IAB Access DL TX in the following slot</w:t>
      </w:r>
    </w:p>
    <w:p w14:paraId="03F844C4" w14:textId="63D42720" w:rsidR="003E2596" w:rsidRPr="003E2596" w:rsidRDefault="003E2596" w:rsidP="006A7EE9">
      <w:pPr>
        <w:pStyle w:val="ListParagraph"/>
        <w:numPr>
          <w:ilvl w:val="0"/>
          <w:numId w:val="42"/>
        </w:numPr>
        <w:spacing w:after="120"/>
        <w:ind w:left="714" w:hanging="357"/>
        <w:jc w:val="both"/>
        <w:rPr>
          <w:sz w:val="20"/>
          <w:szCs w:val="20"/>
          <w:lang w:val="en-US" w:eastAsia="en-US"/>
        </w:rPr>
      </w:pPr>
      <w:r w:rsidRPr="00A17159">
        <w:rPr>
          <w:sz w:val="20"/>
          <w:szCs w:val="20"/>
          <w:lang w:val="en-US" w:eastAsia="en-US"/>
        </w:rPr>
        <w:t>IAB BH DL RX may overlap with the IAB Access UL RX in the following slot</w:t>
      </w:r>
    </w:p>
    <w:p w14:paraId="180DE6EE" w14:textId="192F144E" w:rsidR="00B145F4" w:rsidRDefault="00FE1185" w:rsidP="006A7EE9">
      <w:pPr>
        <w:jc w:val="both"/>
        <w:rPr>
          <w:lang w:val="en-US"/>
        </w:rPr>
      </w:pPr>
      <w:r>
        <w:rPr>
          <w:lang w:val="en-US"/>
        </w:rPr>
        <w:t>In general, preferred approach (especially on TDD bands) is a synchronized network where the interference scenarios are predictable and not dependent on the IAB topology. By this, possible features for flexible TDD and cross-link interference (CLI) mitigation could be applied with IAB.</w:t>
      </w:r>
      <w:r w:rsidR="00A02710">
        <w:rPr>
          <w:lang w:val="en-US"/>
        </w:rPr>
        <w:t xml:space="preserve"> Also, IAB node conversion to gNB operation (when wired BH connection provided) would cause minimum changes on the network level as the timing can be maintained: IAB becoming a normal gNB and possibly acting as a donor (donor timing would apply) for the remaining IAB nodes.</w:t>
      </w:r>
    </w:p>
    <w:p w14:paraId="5DF927A4" w14:textId="347CBEDD" w:rsidR="00FE1185" w:rsidRPr="00A02710" w:rsidRDefault="00FE1185" w:rsidP="006A7EE9">
      <w:pPr>
        <w:jc w:val="both"/>
        <w:rPr>
          <w:b/>
          <w:lang w:val="en-US"/>
        </w:rPr>
      </w:pPr>
      <w:r w:rsidRPr="00A02710">
        <w:rPr>
          <w:b/>
          <w:lang w:val="en-US"/>
        </w:rPr>
        <w:t xml:space="preserve">Observation 5: Timing options leading to synchronized networks (esp. on TDD bands) are favorable approaches as </w:t>
      </w:r>
      <w:r w:rsidR="00A02710" w:rsidRPr="00A02710">
        <w:rPr>
          <w:b/>
          <w:lang w:val="en-US"/>
        </w:rPr>
        <w:t>they would enable usage of potential enhanced features for flexible TDD operation and CLI mitigation. Also, conversion to normal gNB operation would cause least changes in the network.</w:t>
      </w:r>
    </w:p>
    <w:p w14:paraId="7D035C5F" w14:textId="0BB64537" w:rsidR="00901AD6" w:rsidRDefault="00A02710" w:rsidP="006A7EE9">
      <w:pPr>
        <w:spacing w:after="120"/>
        <w:jc w:val="both"/>
        <w:rPr>
          <w:rFonts w:eastAsia="MS Mincho"/>
          <w:lang w:val="en-US" w:eastAsia="ja-JP"/>
        </w:rPr>
      </w:pPr>
      <w:r>
        <w:rPr>
          <w:rFonts w:eastAsia="MS Mincho"/>
          <w:lang w:val="en-US" w:eastAsia="ja-JP"/>
        </w:rPr>
        <w:t xml:space="preserve">A general question is also whether there would be any standard impacts with different timing approaches. It looks that only Case#4 may need some modifications for random access but otherwise it may be up to IAB implementation </w:t>
      </w:r>
      <w:r w:rsidR="00901AD6">
        <w:rPr>
          <w:rFonts w:eastAsia="MS Mincho"/>
          <w:lang w:val="en-US" w:eastAsia="ja-JP"/>
        </w:rPr>
        <w:t xml:space="preserve">(possibly supported by </w:t>
      </w:r>
      <w:r>
        <w:rPr>
          <w:rFonts w:eastAsia="MS Mincho"/>
          <w:lang w:val="en-US" w:eastAsia="ja-JP"/>
        </w:rPr>
        <w:t xml:space="preserve">network level </w:t>
      </w:r>
      <w:r w:rsidR="00901AD6">
        <w:rPr>
          <w:rFonts w:eastAsia="MS Mincho"/>
          <w:lang w:val="en-US" w:eastAsia="ja-JP"/>
        </w:rPr>
        <w:t xml:space="preserve">coordination) </w:t>
      </w:r>
      <w:r>
        <w:rPr>
          <w:rFonts w:eastAsia="MS Mincho"/>
          <w:lang w:val="en-US" w:eastAsia="ja-JP"/>
        </w:rPr>
        <w:t xml:space="preserve">to handle the </w:t>
      </w:r>
      <w:r w:rsidR="00901AD6">
        <w:rPr>
          <w:rFonts w:eastAsia="MS Mincho"/>
          <w:lang w:val="en-US" w:eastAsia="ja-JP"/>
        </w:rPr>
        <w:t xml:space="preserve">differences in timing just that they would be transparent to access UEs. </w:t>
      </w:r>
    </w:p>
    <w:p w14:paraId="433420DE" w14:textId="4B75DC5D" w:rsidR="00901AD6" w:rsidRPr="00901AD6" w:rsidRDefault="00901AD6" w:rsidP="006A7EE9">
      <w:pPr>
        <w:spacing w:after="120"/>
        <w:jc w:val="both"/>
        <w:rPr>
          <w:rFonts w:eastAsia="MS Mincho"/>
          <w:b/>
          <w:lang w:val="en-US" w:eastAsia="ja-JP"/>
        </w:rPr>
      </w:pPr>
      <w:r w:rsidRPr="00901AD6">
        <w:rPr>
          <w:rFonts w:eastAsia="MS Mincho"/>
          <w:b/>
          <w:lang w:val="en-US" w:eastAsia="ja-JP"/>
        </w:rPr>
        <w:t>Observation 6: Mostly the timing options are implementation dependent.</w:t>
      </w:r>
    </w:p>
    <w:p w14:paraId="0393A97D" w14:textId="77777777" w:rsidR="00901AD6" w:rsidRDefault="00901AD6" w:rsidP="00CB3C8E">
      <w:pPr>
        <w:spacing w:after="0"/>
        <w:rPr>
          <w:rFonts w:eastAsia="MS Mincho"/>
          <w:lang w:val="en-US" w:eastAsia="ja-JP"/>
        </w:rPr>
      </w:pPr>
    </w:p>
    <w:p w14:paraId="5F19544B" w14:textId="77777777" w:rsidR="00A02710" w:rsidRPr="0045097F" w:rsidRDefault="00A02710" w:rsidP="00CB3C8E">
      <w:pPr>
        <w:spacing w:after="0"/>
        <w:rPr>
          <w:rFonts w:eastAsia="MS Mincho"/>
          <w:lang w:val="en-US" w:eastAsia="ja-JP"/>
        </w:rPr>
      </w:pPr>
    </w:p>
    <w:p w14:paraId="0D827FAF" w14:textId="6E9EC3AB" w:rsidR="0034111C" w:rsidRPr="00A51522" w:rsidRDefault="005E7117">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p>
    <w:p w14:paraId="6034D1B0" w14:textId="30853476" w:rsidR="00E90924" w:rsidRDefault="00901AD6" w:rsidP="00D74E86">
      <w:pPr>
        <w:spacing w:afterLines="50" w:after="120"/>
        <w:jc w:val="both"/>
        <w:rPr>
          <w:lang w:val="en-US"/>
        </w:rPr>
      </w:pPr>
      <w:r>
        <w:rPr>
          <w:lang w:val="en-US"/>
        </w:rPr>
        <w:t>In this contribution we have elaborated options for TX/RX timing which were agreed by RAN1 to be studied. We ended up with following observations:</w:t>
      </w:r>
    </w:p>
    <w:p w14:paraId="6FDB23B1" w14:textId="77777777" w:rsidR="00D74E86" w:rsidRPr="003E2596" w:rsidRDefault="00D74E86" w:rsidP="00D74E86">
      <w:pPr>
        <w:spacing w:afterLines="50" w:after="120"/>
        <w:rPr>
          <w:b/>
          <w:lang w:val="en-US"/>
        </w:rPr>
      </w:pPr>
      <w:r w:rsidRPr="003E2596">
        <w:rPr>
          <w:b/>
          <w:lang w:val="en-US"/>
        </w:rPr>
        <w:t>Observation 1: Case#1 results in synchronized cellular timing throughout the network.</w:t>
      </w:r>
    </w:p>
    <w:p w14:paraId="6B354ADC" w14:textId="248C608C" w:rsidR="00D74E86" w:rsidRDefault="00D74E86" w:rsidP="00D74E86">
      <w:pPr>
        <w:spacing w:afterLines="50" w:after="120"/>
        <w:rPr>
          <w:b/>
          <w:lang w:val="en-US"/>
        </w:rPr>
      </w:pPr>
      <w:r>
        <w:rPr>
          <w:b/>
          <w:lang w:val="en-US"/>
        </w:rPr>
        <w:t>Observation 2</w:t>
      </w:r>
      <w:r w:rsidRPr="003E2596">
        <w:rPr>
          <w:b/>
          <w:lang w:val="en-US"/>
        </w:rPr>
        <w:t>: Case</w:t>
      </w:r>
      <w:r>
        <w:rPr>
          <w:b/>
          <w:lang w:val="en-US"/>
        </w:rPr>
        <w:t xml:space="preserve">s #2 </w:t>
      </w:r>
      <w:r w:rsidR="007B6E1B">
        <w:rPr>
          <w:b/>
          <w:lang w:val="en-US"/>
        </w:rPr>
        <w:t>and</w:t>
      </w:r>
      <w:r>
        <w:rPr>
          <w:b/>
          <w:lang w:val="en-US"/>
        </w:rPr>
        <w:t xml:space="preserve"> #4</w:t>
      </w:r>
      <w:r w:rsidRPr="003E2596">
        <w:rPr>
          <w:b/>
          <w:lang w:val="en-US"/>
        </w:rPr>
        <w:t xml:space="preserve"> </w:t>
      </w:r>
      <w:r>
        <w:rPr>
          <w:b/>
          <w:lang w:val="en-US"/>
        </w:rPr>
        <w:t>lead to non-synchronous network where the timing changes at each BH hop.</w:t>
      </w:r>
    </w:p>
    <w:p w14:paraId="7685BE66" w14:textId="38609C6C" w:rsidR="00D74E86" w:rsidRPr="003E2596" w:rsidRDefault="00D74E86" w:rsidP="00D74E86">
      <w:pPr>
        <w:spacing w:afterLines="50" w:after="120"/>
        <w:rPr>
          <w:b/>
          <w:lang w:val="en-US"/>
        </w:rPr>
      </w:pPr>
      <w:r>
        <w:rPr>
          <w:b/>
          <w:lang w:val="en-US"/>
        </w:rPr>
        <w:t>Observation 3: Case</w:t>
      </w:r>
      <w:r w:rsidR="007B6E1B">
        <w:rPr>
          <w:b/>
          <w:lang w:val="en-US"/>
        </w:rPr>
        <w:t xml:space="preserve">s #3 and </w:t>
      </w:r>
      <w:r>
        <w:rPr>
          <w:b/>
          <w:lang w:val="en-US"/>
        </w:rPr>
        <w:t xml:space="preserve">#4 </w:t>
      </w:r>
      <w:r w:rsidR="007B6E1B">
        <w:rPr>
          <w:b/>
          <w:lang w:val="en-US"/>
        </w:rPr>
        <w:t>c</w:t>
      </w:r>
      <w:r>
        <w:rPr>
          <w:b/>
          <w:lang w:val="en-US"/>
        </w:rPr>
        <w:t>ould lead to negative TA values for the access UEs which would be an issue with random access.</w:t>
      </w:r>
    </w:p>
    <w:p w14:paraId="33144466" w14:textId="77777777" w:rsidR="00D74E86" w:rsidRDefault="00D74E86" w:rsidP="00D74E86">
      <w:pPr>
        <w:spacing w:afterLines="50" w:after="120"/>
        <w:rPr>
          <w:lang w:val="en-US"/>
        </w:rPr>
      </w:pPr>
      <w:r>
        <w:rPr>
          <w:b/>
          <w:lang w:val="en-US"/>
        </w:rPr>
        <w:t>Observation 4: Case#5 is essentially the same as Case#1, just defining the time domain (different slots) separation of access and BH communication.</w:t>
      </w:r>
    </w:p>
    <w:p w14:paraId="6F79B663" w14:textId="77777777" w:rsidR="00D74E86" w:rsidRPr="00A02710" w:rsidRDefault="00D74E86" w:rsidP="00D74E86">
      <w:pPr>
        <w:spacing w:afterLines="50" w:after="120"/>
        <w:rPr>
          <w:b/>
          <w:lang w:val="en-US"/>
        </w:rPr>
      </w:pPr>
      <w:r w:rsidRPr="00A02710">
        <w:rPr>
          <w:b/>
          <w:lang w:val="en-US"/>
        </w:rPr>
        <w:t>Observation 5: Timing options leading to synchronized networks (esp. on TDD bands) are favorable approaches as they would enable usage of potential enhanced features for flexible TDD operation and CLI mitigation. Also, conversion to normal gNB operation would cause least changes in the network.</w:t>
      </w:r>
    </w:p>
    <w:p w14:paraId="3DC8B6A6" w14:textId="77777777" w:rsidR="00D74E86" w:rsidRPr="00901AD6" w:rsidRDefault="00D74E86" w:rsidP="00D74E86">
      <w:pPr>
        <w:spacing w:afterLines="100" w:after="240"/>
        <w:rPr>
          <w:rFonts w:eastAsia="MS Mincho"/>
          <w:b/>
          <w:lang w:val="en-US" w:eastAsia="ja-JP"/>
        </w:rPr>
      </w:pPr>
      <w:r w:rsidRPr="00901AD6">
        <w:rPr>
          <w:rFonts w:eastAsia="MS Mincho"/>
          <w:b/>
          <w:lang w:val="en-US" w:eastAsia="ja-JP"/>
        </w:rPr>
        <w:t>Observation 6: Mostly the timing options are implementation dependent.</w:t>
      </w:r>
    </w:p>
    <w:p w14:paraId="7D87EE6F" w14:textId="5813C749" w:rsidR="00901AD6" w:rsidRDefault="00901AD6" w:rsidP="00F668FD">
      <w:pPr>
        <w:spacing w:after="120"/>
        <w:jc w:val="both"/>
        <w:rPr>
          <w:lang w:val="en-US"/>
        </w:rPr>
      </w:pPr>
      <w:r>
        <w:rPr>
          <w:lang w:val="en-US"/>
        </w:rPr>
        <w:t>As a conclusion</w:t>
      </w:r>
      <w:r w:rsidR="00D74E86">
        <w:rPr>
          <w:lang w:val="en-US"/>
        </w:rPr>
        <w:t>,</w:t>
      </w:r>
      <w:r>
        <w:rPr>
          <w:lang w:val="en-US"/>
        </w:rPr>
        <w:t xml:space="preserve"> we see approaches leading to synchronized network as the primary choices for IAB operation being most forward compatible regarding future enhancements for flexible TDD and CLI mitigation. Furthermore, conversion of IAB node to normal gNB operation would cause least changes.</w:t>
      </w:r>
    </w:p>
    <w:p w14:paraId="7D930064" w14:textId="57E213DF" w:rsidR="00901AD6" w:rsidRDefault="00901AD6" w:rsidP="00F668FD">
      <w:pPr>
        <w:spacing w:after="120"/>
        <w:jc w:val="both"/>
        <w:rPr>
          <w:lang w:val="en-US"/>
        </w:rPr>
      </w:pPr>
      <w:r>
        <w:rPr>
          <w:lang w:val="en-US"/>
        </w:rPr>
        <w:t xml:space="preserve">Additionally, it is not clear whether there has to be any standards support </w:t>
      </w:r>
      <w:r w:rsidR="00D74E86">
        <w:rPr>
          <w:lang w:val="en-US"/>
        </w:rPr>
        <w:t>that would be needed for different timing options or can this be left for implementation options and vendor/operator choice for IAB operation and deployment.</w:t>
      </w:r>
    </w:p>
    <w:p w14:paraId="729BD3D7" w14:textId="45EACC91" w:rsidR="00901AD6" w:rsidRPr="00D74E86" w:rsidRDefault="00901AD6" w:rsidP="00F668FD">
      <w:pPr>
        <w:spacing w:after="120"/>
        <w:jc w:val="both"/>
        <w:rPr>
          <w:b/>
          <w:lang w:val="en-US"/>
        </w:rPr>
      </w:pPr>
      <w:r w:rsidRPr="00D74E86">
        <w:rPr>
          <w:b/>
          <w:lang w:val="en-US"/>
        </w:rPr>
        <w:t>Proposal</w:t>
      </w:r>
      <w:r w:rsidR="00D74E86" w:rsidRPr="00D74E86">
        <w:rPr>
          <w:b/>
          <w:lang w:val="en-US"/>
        </w:rPr>
        <w:t xml:space="preserve"> 1</w:t>
      </w:r>
      <w:r w:rsidRPr="00D74E86">
        <w:rPr>
          <w:b/>
          <w:lang w:val="en-US"/>
        </w:rPr>
        <w:t xml:space="preserve">: </w:t>
      </w:r>
      <w:r w:rsidR="00D74E86" w:rsidRPr="00D74E86">
        <w:rPr>
          <w:b/>
          <w:lang w:val="en-US"/>
        </w:rPr>
        <w:t xml:space="preserve">It should be clarified </w:t>
      </w:r>
      <w:r w:rsidR="008A378A">
        <w:rPr>
          <w:b/>
          <w:lang w:val="en-US"/>
        </w:rPr>
        <w:t xml:space="preserve">whether </w:t>
      </w:r>
      <w:r w:rsidR="00D74E86" w:rsidRPr="00D74E86">
        <w:rPr>
          <w:b/>
          <w:lang w:val="en-US"/>
        </w:rPr>
        <w:t xml:space="preserve">there </w:t>
      </w:r>
      <w:r w:rsidR="008A378A">
        <w:rPr>
          <w:b/>
          <w:lang w:val="en-US"/>
        </w:rPr>
        <w:t xml:space="preserve">will be standard impacts </w:t>
      </w:r>
      <w:r w:rsidR="00D74E86" w:rsidRPr="00D74E86">
        <w:rPr>
          <w:b/>
          <w:lang w:val="en-US"/>
        </w:rPr>
        <w:t xml:space="preserve">related to </w:t>
      </w:r>
      <w:r w:rsidR="00C71499">
        <w:rPr>
          <w:b/>
          <w:lang w:val="en-US"/>
        </w:rPr>
        <w:t xml:space="preserve">the </w:t>
      </w:r>
      <w:bookmarkStart w:id="1" w:name="_GoBack"/>
      <w:bookmarkEnd w:id="1"/>
      <w:r w:rsidR="008A378A">
        <w:rPr>
          <w:b/>
          <w:lang w:val="en-US"/>
        </w:rPr>
        <w:t xml:space="preserve">use of different </w:t>
      </w:r>
      <w:r w:rsidR="00D74E86" w:rsidRPr="00D74E86">
        <w:rPr>
          <w:b/>
          <w:lang w:val="en-US"/>
        </w:rPr>
        <w:t>timing options.</w:t>
      </w:r>
    </w:p>
    <w:p w14:paraId="0E08B4BA" w14:textId="5CEC395F" w:rsidR="005E7117" w:rsidRPr="00E90924" w:rsidRDefault="00D74E86" w:rsidP="006060C2">
      <w:pPr>
        <w:spacing w:after="120"/>
        <w:jc w:val="both"/>
      </w:pPr>
      <w:r w:rsidRPr="00D74E86">
        <w:rPr>
          <w:b/>
          <w:lang w:val="en-US"/>
        </w:rPr>
        <w:t xml:space="preserve">Proposal 2: Options leading to synchronized network can be taken as a </w:t>
      </w:r>
      <w:r w:rsidR="008A378A">
        <w:rPr>
          <w:b/>
          <w:lang w:val="en-US"/>
        </w:rPr>
        <w:t xml:space="preserve">baseline for </w:t>
      </w:r>
      <w:r w:rsidRPr="00D74E86">
        <w:rPr>
          <w:b/>
          <w:lang w:val="en-US"/>
        </w:rPr>
        <w:t xml:space="preserve">IAB operation and deployment. The other options can be left for later studies </w:t>
      </w:r>
      <w:r w:rsidR="008A378A">
        <w:rPr>
          <w:b/>
          <w:lang w:val="en-US"/>
        </w:rPr>
        <w:t>and/</w:t>
      </w:r>
      <w:r w:rsidRPr="00D74E86">
        <w:rPr>
          <w:b/>
          <w:lang w:val="en-US"/>
        </w:rPr>
        <w:t>or choices for implementation</w:t>
      </w:r>
      <w:r w:rsidR="008A378A">
        <w:rPr>
          <w:b/>
          <w:lang w:val="en-US"/>
        </w:rPr>
        <w:t>.</w:t>
      </w:r>
    </w:p>
    <w:p w14:paraId="76E67726" w14:textId="77777777" w:rsidR="00D7787C" w:rsidRPr="00724DF5" w:rsidRDefault="00D7787C" w:rsidP="00A2190A">
      <w:pPr>
        <w:spacing w:after="120"/>
        <w:jc w:val="both"/>
        <w:rPr>
          <w:bCs/>
          <w:i/>
        </w:rPr>
      </w:pPr>
    </w:p>
    <w:p w14:paraId="2F0729C1" w14:textId="4F54E886" w:rsidR="0034111C" w:rsidRPr="00A51522" w:rsidRDefault="007825F0" w:rsidP="007825F0">
      <w:pPr>
        <w:pStyle w:val="Heading1"/>
      </w:pPr>
      <w:r w:rsidRPr="00A51522">
        <w:t xml:space="preserve"> </w:t>
      </w:r>
      <w:r w:rsidR="0034111C" w:rsidRPr="00A51522">
        <w:t>References</w:t>
      </w:r>
      <w:r w:rsidR="00A2459D" w:rsidRPr="00A51522">
        <w:t xml:space="preserve"> </w:t>
      </w:r>
    </w:p>
    <w:p w14:paraId="40D99FF0" w14:textId="7834BE75" w:rsidR="00055676" w:rsidRDefault="00AC276B" w:rsidP="00AC276B">
      <w:pPr>
        <w:numPr>
          <w:ilvl w:val="0"/>
          <w:numId w:val="1"/>
        </w:numPr>
        <w:rPr>
          <w:sz w:val="18"/>
        </w:rPr>
      </w:pPr>
      <w:r w:rsidRPr="00AC276B">
        <w:rPr>
          <w:sz w:val="18"/>
          <w:lang w:eastAsia="zh-CN"/>
        </w:rPr>
        <w:t>RP-170821</w:t>
      </w:r>
      <w:r w:rsidR="00055676" w:rsidRPr="00013455">
        <w:rPr>
          <w:sz w:val="18"/>
          <w:lang w:eastAsia="zh-CN"/>
        </w:rPr>
        <w:t xml:space="preserve">, </w:t>
      </w:r>
      <w:r w:rsidR="00D060FF" w:rsidRPr="00013455">
        <w:rPr>
          <w:sz w:val="18"/>
          <w:lang w:eastAsia="zh-CN"/>
        </w:rPr>
        <w:t>“</w:t>
      </w:r>
      <w:r w:rsidRPr="00AC276B">
        <w:rPr>
          <w:i/>
          <w:sz w:val="18"/>
          <w:lang w:eastAsia="zh-CN"/>
        </w:rPr>
        <w:t>Study on Integrated Access and Backhaul for NR</w:t>
      </w:r>
      <w:r w:rsidR="00D060FF" w:rsidRPr="00013455">
        <w:rPr>
          <w:sz w:val="18"/>
          <w:lang w:eastAsia="zh-CN"/>
        </w:rPr>
        <w:t>”</w:t>
      </w:r>
      <w:r w:rsidR="00055676" w:rsidRPr="00013455">
        <w:rPr>
          <w:sz w:val="18"/>
          <w:lang w:eastAsia="zh-CN"/>
        </w:rPr>
        <w:t xml:space="preserve">, </w:t>
      </w:r>
      <w:r>
        <w:rPr>
          <w:sz w:val="18"/>
          <w:lang w:eastAsia="zh-CN"/>
        </w:rPr>
        <w:t>AT&amp;T, Qualcomm, Samsung</w:t>
      </w:r>
    </w:p>
    <w:p w14:paraId="17BA1EE6" w14:textId="3F9ABE48" w:rsidR="00F668FD" w:rsidRPr="00D74E86" w:rsidRDefault="00F668FD" w:rsidP="00D74E86">
      <w:pPr>
        <w:numPr>
          <w:ilvl w:val="0"/>
          <w:numId w:val="1"/>
        </w:numPr>
        <w:rPr>
          <w:sz w:val="18"/>
        </w:rPr>
      </w:pPr>
      <w:r w:rsidRPr="00F668FD">
        <w:rPr>
          <w:i/>
          <w:sz w:val="18"/>
        </w:rPr>
        <w:t>Draft Report of 3GPP TSG RAN WG1 #93 v0.2.0</w:t>
      </w:r>
      <w:r>
        <w:rPr>
          <w:i/>
          <w:sz w:val="18"/>
        </w:rPr>
        <w:t xml:space="preserve"> </w:t>
      </w:r>
    </w:p>
    <w:sectPr w:rsidR="00F668FD" w:rsidRPr="00D74E86" w:rsidSect="000131D1">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53E0C" w14:textId="77777777" w:rsidR="00C67BC7" w:rsidRDefault="00C67BC7">
      <w:r>
        <w:separator/>
      </w:r>
    </w:p>
  </w:endnote>
  <w:endnote w:type="continuationSeparator" w:id="0">
    <w:p w14:paraId="081CF0D7" w14:textId="77777777" w:rsidR="00C67BC7" w:rsidRDefault="00C67BC7">
      <w:r>
        <w:continuationSeparator/>
      </w:r>
    </w:p>
  </w:endnote>
  <w:endnote w:type="continuationNotice" w:id="1">
    <w:p w14:paraId="702DE116" w14:textId="77777777" w:rsidR="00C67BC7" w:rsidRDefault="00C67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2BE6BF8" w:rsidR="008C7A67" w:rsidRDefault="008C7A67">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85A5F46" w14:textId="3C8AB1B8" w:rsidR="008C7A67" w:rsidRPr="00B75603" w:rsidRDefault="008C7A67"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185A5F46" w14:textId="3C8AB1B8" w:rsidR="008C7A67" w:rsidRPr="00B75603" w:rsidRDefault="008C7A67"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B89C9" w14:textId="77777777" w:rsidR="00C67BC7" w:rsidRDefault="00C67BC7">
      <w:r>
        <w:separator/>
      </w:r>
    </w:p>
  </w:footnote>
  <w:footnote w:type="continuationSeparator" w:id="0">
    <w:p w14:paraId="5001F31C" w14:textId="77777777" w:rsidR="00C67BC7" w:rsidRDefault="00C67BC7">
      <w:r>
        <w:continuationSeparator/>
      </w:r>
    </w:p>
  </w:footnote>
  <w:footnote w:type="continuationNotice" w:id="1">
    <w:p w14:paraId="095C9017" w14:textId="77777777" w:rsidR="00C67BC7" w:rsidRDefault="00C67B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EEC"/>
    <w:multiLevelType w:val="hybridMultilevel"/>
    <w:tmpl w:val="241496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8401E"/>
    <w:multiLevelType w:val="hybridMultilevel"/>
    <w:tmpl w:val="D5605F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E32E47"/>
    <w:multiLevelType w:val="hybridMultilevel"/>
    <w:tmpl w:val="47DAD100"/>
    <w:lvl w:ilvl="0" w:tplc="04090011">
      <w:start w:val="1"/>
      <w:numFmt w:val="decimal"/>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 w15:restartNumberingAfterBreak="0">
    <w:nsid w:val="0C7A4A28"/>
    <w:multiLevelType w:val="hybridMultilevel"/>
    <w:tmpl w:val="310299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47B6CBD"/>
    <w:multiLevelType w:val="hybridMultilevel"/>
    <w:tmpl w:val="A0D6D2F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 w15:restartNumberingAfterBreak="0">
    <w:nsid w:val="14DD1DE1"/>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9312710"/>
    <w:multiLevelType w:val="hybridMultilevel"/>
    <w:tmpl w:val="899EE4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C27430E"/>
    <w:multiLevelType w:val="hybridMultilevel"/>
    <w:tmpl w:val="375C4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A34AF9"/>
    <w:multiLevelType w:val="hybridMultilevel"/>
    <w:tmpl w:val="8B16718A"/>
    <w:lvl w:ilvl="0" w:tplc="8F0C5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61E9C"/>
    <w:multiLevelType w:val="hybridMultilevel"/>
    <w:tmpl w:val="0E72B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9D74B9E"/>
    <w:multiLevelType w:val="hybridMultilevel"/>
    <w:tmpl w:val="42FC42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EFD542E"/>
    <w:multiLevelType w:val="hybridMultilevel"/>
    <w:tmpl w:val="C1682C8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3" w15:restartNumberingAfterBreak="0">
    <w:nsid w:val="30FD17B5"/>
    <w:multiLevelType w:val="hybridMultilevel"/>
    <w:tmpl w:val="8130AD08"/>
    <w:lvl w:ilvl="0" w:tplc="9D44A46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DE1290F"/>
    <w:multiLevelType w:val="hybridMultilevel"/>
    <w:tmpl w:val="CA000A7A"/>
    <w:lvl w:ilvl="0" w:tplc="58CCF1EE">
      <w:start w:val="1"/>
      <w:numFmt w:val="bullet"/>
      <w:lvlText w:val="•"/>
      <w:lvlJc w:val="left"/>
      <w:pPr>
        <w:tabs>
          <w:tab w:val="num" w:pos="720"/>
        </w:tabs>
        <w:ind w:left="720" w:hanging="360"/>
      </w:pPr>
      <w:rPr>
        <w:rFonts w:ascii="Arial" w:hAnsi="Arial" w:hint="default"/>
      </w:rPr>
    </w:lvl>
    <w:lvl w:ilvl="1" w:tplc="F0E87ADA">
      <w:numFmt w:val="bullet"/>
      <w:lvlText w:val="-"/>
      <w:lvlJc w:val="left"/>
      <w:pPr>
        <w:tabs>
          <w:tab w:val="num" w:pos="1440"/>
        </w:tabs>
        <w:ind w:left="1440" w:hanging="360"/>
      </w:pPr>
      <w:rPr>
        <w:rFonts w:ascii="Lucida Grande" w:hAnsi="Lucida Grande" w:hint="default"/>
      </w:rPr>
    </w:lvl>
    <w:lvl w:ilvl="2" w:tplc="89308700" w:tentative="1">
      <w:start w:val="1"/>
      <w:numFmt w:val="bullet"/>
      <w:lvlText w:val="•"/>
      <w:lvlJc w:val="left"/>
      <w:pPr>
        <w:tabs>
          <w:tab w:val="num" w:pos="2160"/>
        </w:tabs>
        <w:ind w:left="2160" w:hanging="360"/>
      </w:pPr>
      <w:rPr>
        <w:rFonts w:ascii="Arial" w:hAnsi="Arial" w:hint="default"/>
      </w:rPr>
    </w:lvl>
    <w:lvl w:ilvl="3" w:tplc="79821332" w:tentative="1">
      <w:start w:val="1"/>
      <w:numFmt w:val="bullet"/>
      <w:lvlText w:val="•"/>
      <w:lvlJc w:val="left"/>
      <w:pPr>
        <w:tabs>
          <w:tab w:val="num" w:pos="2880"/>
        </w:tabs>
        <w:ind w:left="2880" w:hanging="360"/>
      </w:pPr>
      <w:rPr>
        <w:rFonts w:ascii="Arial" w:hAnsi="Arial" w:hint="default"/>
      </w:rPr>
    </w:lvl>
    <w:lvl w:ilvl="4" w:tplc="E6420C46" w:tentative="1">
      <w:start w:val="1"/>
      <w:numFmt w:val="bullet"/>
      <w:lvlText w:val="•"/>
      <w:lvlJc w:val="left"/>
      <w:pPr>
        <w:tabs>
          <w:tab w:val="num" w:pos="3600"/>
        </w:tabs>
        <w:ind w:left="3600" w:hanging="360"/>
      </w:pPr>
      <w:rPr>
        <w:rFonts w:ascii="Arial" w:hAnsi="Arial" w:hint="default"/>
      </w:rPr>
    </w:lvl>
    <w:lvl w:ilvl="5" w:tplc="4B5A51DC" w:tentative="1">
      <w:start w:val="1"/>
      <w:numFmt w:val="bullet"/>
      <w:lvlText w:val="•"/>
      <w:lvlJc w:val="left"/>
      <w:pPr>
        <w:tabs>
          <w:tab w:val="num" w:pos="4320"/>
        </w:tabs>
        <w:ind w:left="4320" w:hanging="360"/>
      </w:pPr>
      <w:rPr>
        <w:rFonts w:ascii="Arial" w:hAnsi="Arial" w:hint="default"/>
      </w:rPr>
    </w:lvl>
    <w:lvl w:ilvl="6" w:tplc="C1D0F3CA" w:tentative="1">
      <w:start w:val="1"/>
      <w:numFmt w:val="bullet"/>
      <w:lvlText w:val="•"/>
      <w:lvlJc w:val="left"/>
      <w:pPr>
        <w:tabs>
          <w:tab w:val="num" w:pos="5040"/>
        </w:tabs>
        <w:ind w:left="5040" w:hanging="360"/>
      </w:pPr>
      <w:rPr>
        <w:rFonts w:ascii="Arial" w:hAnsi="Arial" w:hint="default"/>
      </w:rPr>
    </w:lvl>
    <w:lvl w:ilvl="7" w:tplc="1B922844" w:tentative="1">
      <w:start w:val="1"/>
      <w:numFmt w:val="bullet"/>
      <w:lvlText w:val="•"/>
      <w:lvlJc w:val="left"/>
      <w:pPr>
        <w:tabs>
          <w:tab w:val="num" w:pos="5760"/>
        </w:tabs>
        <w:ind w:left="5760" w:hanging="360"/>
      </w:pPr>
      <w:rPr>
        <w:rFonts w:ascii="Arial" w:hAnsi="Arial" w:hint="default"/>
      </w:rPr>
    </w:lvl>
    <w:lvl w:ilvl="8" w:tplc="434401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2549B2"/>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F3769F2"/>
    <w:multiLevelType w:val="hybridMultilevel"/>
    <w:tmpl w:val="7CFEB2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FA84C76"/>
    <w:multiLevelType w:val="hybridMultilevel"/>
    <w:tmpl w:val="317604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28110B9"/>
    <w:multiLevelType w:val="hybridMultilevel"/>
    <w:tmpl w:val="9AF64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15:restartNumberingAfterBreak="0">
    <w:nsid w:val="43695F64"/>
    <w:multiLevelType w:val="hybridMultilevel"/>
    <w:tmpl w:val="2FFA057C"/>
    <w:lvl w:ilvl="0" w:tplc="040B0001">
      <w:start w:val="1"/>
      <w:numFmt w:val="bullet"/>
      <w:lvlText w:val=""/>
      <w:lvlJc w:val="left"/>
      <w:pPr>
        <w:ind w:left="2348" w:hanging="360"/>
      </w:pPr>
      <w:rPr>
        <w:rFonts w:ascii="Symbol" w:hAnsi="Symbol" w:hint="default"/>
      </w:rPr>
    </w:lvl>
    <w:lvl w:ilvl="1" w:tplc="040B0003" w:tentative="1">
      <w:start w:val="1"/>
      <w:numFmt w:val="bullet"/>
      <w:lvlText w:val="o"/>
      <w:lvlJc w:val="left"/>
      <w:pPr>
        <w:ind w:left="3068" w:hanging="360"/>
      </w:pPr>
      <w:rPr>
        <w:rFonts w:ascii="Courier New" w:hAnsi="Courier New" w:cs="Courier New" w:hint="default"/>
      </w:rPr>
    </w:lvl>
    <w:lvl w:ilvl="2" w:tplc="040B0005" w:tentative="1">
      <w:start w:val="1"/>
      <w:numFmt w:val="bullet"/>
      <w:lvlText w:val=""/>
      <w:lvlJc w:val="left"/>
      <w:pPr>
        <w:ind w:left="3788" w:hanging="360"/>
      </w:pPr>
      <w:rPr>
        <w:rFonts w:ascii="Wingdings" w:hAnsi="Wingdings" w:hint="default"/>
      </w:rPr>
    </w:lvl>
    <w:lvl w:ilvl="3" w:tplc="040B0001" w:tentative="1">
      <w:start w:val="1"/>
      <w:numFmt w:val="bullet"/>
      <w:lvlText w:val=""/>
      <w:lvlJc w:val="left"/>
      <w:pPr>
        <w:ind w:left="4508" w:hanging="360"/>
      </w:pPr>
      <w:rPr>
        <w:rFonts w:ascii="Symbol" w:hAnsi="Symbol" w:hint="default"/>
      </w:rPr>
    </w:lvl>
    <w:lvl w:ilvl="4" w:tplc="040B0003" w:tentative="1">
      <w:start w:val="1"/>
      <w:numFmt w:val="bullet"/>
      <w:lvlText w:val="o"/>
      <w:lvlJc w:val="left"/>
      <w:pPr>
        <w:ind w:left="5228" w:hanging="360"/>
      </w:pPr>
      <w:rPr>
        <w:rFonts w:ascii="Courier New" w:hAnsi="Courier New" w:cs="Courier New" w:hint="default"/>
      </w:rPr>
    </w:lvl>
    <w:lvl w:ilvl="5" w:tplc="040B0005" w:tentative="1">
      <w:start w:val="1"/>
      <w:numFmt w:val="bullet"/>
      <w:lvlText w:val=""/>
      <w:lvlJc w:val="left"/>
      <w:pPr>
        <w:ind w:left="5948" w:hanging="360"/>
      </w:pPr>
      <w:rPr>
        <w:rFonts w:ascii="Wingdings" w:hAnsi="Wingdings" w:hint="default"/>
      </w:rPr>
    </w:lvl>
    <w:lvl w:ilvl="6" w:tplc="040B0001" w:tentative="1">
      <w:start w:val="1"/>
      <w:numFmt w:val="bullet"/>
      <w:lvlText w:val=""/>
      <w:lvlJc w:val="left"/>
      <w:pPr>
        <w:ind w:left="6668" w:hanging="360"/>
      </w:pPr>
      <w:rPr>
        <w:rFonts w:ascii="Symbol" w:hAnsi="Symbol" w:hint="default"/>
      </w:rPr>
    </w:lvl>
    <w:lvl w:ilvl="7" w:tplc="040B0003" w:tentative="1">
      <w:start w:val="1"/>
      <w:numFmt w:val="bullet"/>
      <w:lvlText w:val="o"/>
      <w:lvlJc w:val="left"/>
      <w:pPr>
        <w:ind w:left="7388" w:hanging="360"/>
      </w:pPr>
      <w:rPr>
        <w:rFonts w:ascii="Courier New" w:hAnsi="Courier New" w:cs="Courier New" w:hint="default"/>
      </w:rPr>
    </w:lvl>
    <w:lvl w:ilvl="8" w:tplc="040B0005" w:tentative="1">
      <w:start w:val="1"/>
      <w:numFmt w:val="bullet"/>
      <w:lvlText w:val=""/>
      <w:lvlJc w:val="left"/>
      <w:pPr>
        <w:ind w:left="8108" w:hanging="360"/>
      </w:pPr>
      <w:rPr>
        <w:rFonts w:ascii="Wingdings" w:hAnsi="Wingdings" w:hint="default"/>
      </w:rPr>
    </w:lvl>
  </w:abstractNum>
  <w:abstractNum w:abstractNumId="23"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9D625D"/>
    <w:multiLevelType w:val="hybridMultilevel"/>
    <w:tmpl w:val="A76ECB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98C55BC"/>
    <w:multiLevelType w:val="hybridMultilevel"/>
    <w:tmpl w:val="B6A44BD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7" w15:restartNumberingAfterBreak="0">
    <w:nsid w:val="4AAF551D"/>
    <w:multiLevelType w:val="hybridMultilevel"/>
    <w:tmpl w:val="DF36D740"/>
    <w:lvl w:ilvl="0" w:tplc="48647276">
      <w:start w:val="1"/>
      <w:numFmt w:val="bullet"/>
      <w:lvlText w:val="•"/>
      <w:lvlJc w:val="left"/>
      <w:pPr>
        <w:tabs>
          <w:tab w:val="num" w:pos="720"/>
        </w:tabs>
        <w:ind w:left="720" w:hanging="360"/>
      </w:pPr>
      <w:rPr>
        <w:rFonts w:ascii="Arial" w:hAnsi="Arial" w:cs="Times New Roman" w:hint="default"/>
      </w:rPr>
    </w:lvl>
    <w:lvl w:ilvl="1" w:tplc="BB4AB02A">
      <w:start w:val="9946"/>
      <w:numFmt w:val="bullet"/>
      <w:lvlText w:val="–"/>
      <w:lvlJc w:val="left"/>
      <w:pPr>
        <w:tabs>
          <w:tab w:val="num" w:pos="1440"/>
        </w:tabs>
        <w:ind w:left="1440" w:hanging="360"/>
      </w:pPr>
      <w:rPr>
        <w:rFonts w:ascii="Arial" w:hAnsi="Arial" w:cs="Times New Roman" w:hint="default"/>
      </w:rPr>
    </w:lvl>
    <w:lvl w:ilvl="2" w:tplc="CD5AA02C">
      <w:start w:val="9946"/>
      <w:numFmt w:val="bullet"/>
      <w:lvlText w:val="•"/>
      <w:lvlJc w:val="left"/>
      <w:pPr>
        <w:tabs>
          <w:tab w:val="num" w:pos="2160"/>
        </w:tabs>
        <w:ind w:left="2160" w:hanging="360"/>
      </w:pPr>
      <w:rPr>
        <w:rFonts w:ascii="Arial" w:hAnsi="Arial" w:cs="Times New Roman" w:hint="default"/>
      </w:rPr>
    </w:lvl>
    <w:lvl w:ilvl="3" w:tplc="4FE6AC50">
      <w:start w:val="1"/>
      <w:numFmt w:val="bullet"/>
      <w:lvlText w:val="•"/>
      <w:lvlJc w:val="left"/>
      <w:pPr>
        <w:tabs>
          <w:tab w:val="num" w:pos="2880"/>
        </w:tabs>
        <w:ind w:left="2880" w:hanging="360"/>
      </w:pPr>
      <w:rPr>
        <w:rFonts w:ascii="Arial" w:hAnsi="Arial" w:cs="Times New Roman" w:hint="default"/>
      </w:rPr>
    </w:lvl>
    <w:lvl w:ilvl="4" w:tplc="0198A4B8">
      <w:start w:val="1"/>
      <w:numFmt w:val="bullet"/>
      <w:lvlText w:val="•"/>
      <w:lvlJc w:val="left"/>
      <w:pPr>
        <w:tabs>
          <w:tab w:val="num" w:pos="3600"/>
        </w:tabs>
        <w:ind w:left="3600" w:hanging="360"/>
      </w:pPr>
      <w:rPr>
        <w:rFonts w:ascii="Arial" w:hAnsi="Arial" w:cs="Times New Roman" w:hint="default"/>
      </w:rPr>
    </w:lvl>
    <w:lvl w:ilvl="5" w:tplc="C38EACFE">
      <w:start w:val="1"/>
      <w:numFmt w:val="bullet"/>
      <w:lvlText w:val="•"/>
      <w:lvlJc w:val="left"/>
      <w:pPr>
        <w:tabs>
          <w:tab w:val="num" w:pos="4320"/>
        </w:tabs>
        <w:ind w:left="4320" w:hanging="360"/>
      </w:pPr>
      <w:rPr>
        <w:rFonts w:ascii="Arial" w:hAnsi="Arial" w:cs="Times New Roman" w:hint="default"/>
      </w:rPr>
    </w:lvl>
    <w:lvl w:ilvl="6" w:tplc="3B1891FC">
      <w:start w:val="1"/>
      <w:numFmt w:val="bullet"/>
      <w:lvlText w:val="•"/>
      <w:lvlJc w:val="left"/>
      <w:pPr>
        <w:tabs>
          <w:tab w:val="num" w:pos="5040"/>
        </w:tabs>
        <w:ind w:left="5040" w:hanging="360"/>
      </w:pPr>
      <w:rPr>
        <w:rFonts w:ascii="Arial" w:hAnsi="Arial" w:cs="Times New Roman" w:hint="default"/>
      </w:rPr>
    </w:lvl>
    <w:lvl w:ilvl="7" w:tplc="EAE886D4">
      <w:start w:val="1"/>
      <w:numFmt w:val="bullet"/>
      <w:lvlText w:val="•"/>
      <w:lvlJc w:val="left"/>
      <w:pPr>
        <w:tabs>
          <w:tab w:val="num" w:pos="5760"/>
        </w:tabs>
        <w:ind w:left="5760" w:hanging="360"/>
      </w:pPr>
      <w:rPr>
        <w:rFonts w:ascii="Arial" w:hAnsi="Arial" w:cs="Times New Roman" w:hint="default"/>
      </w:rPr>
    </w:lvl>
    <w:lvl w:ilvl="8" w:tplc="1A74233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E7943B2"/>
    <w:multiLevelType w:val="hybridMultilevel"/>
    <w:tmpl w:val="B14666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0830236"/>
    <w:multiLevelType w:val="hybridMultilevel"/>
    <w:tmpl w:val="0EBA3444"/>
    <w:lvl w:ilvl="0" w:tplc="7842F228">
      <w:start w:val="1"/>
      <w:numFmt w:val="bullet"/>
      <w:lvlText w:val="•"/>
      <w:lvlJc w:val="left"/>
      <w:pPr>
        <w:tabs>
          <w:tab w:val="num" w:pos="720"/>
        </w:tabs>
        <w:ind w:left="720" w:hanging="360"/>
      </w:pPr>
      <w:rPr>
        <w:rFonts w:ascii="Arial" w:hAnsi="Arial" w:hint="default"/>
      </w:rPr>
    </w:lvl>
    <w:lvl w:ilvl="1" w:tplc="69240422" w:tentative="1">
      <w:start w:val="1"/>
      <w:numFmt w:val="bullet"/>
      <w:lvlText w:val="•"/>
      <w:lvlJc w:val="left"/>
      <w:pPr>
        <w:tabs>
          <w:tab w:val="num" w:pos="1440"/>
        </w:tabs>
        <w:ind w:left="1440" w:hanging="360"/>
      </w:pPr>
      <w:rPr>
        <w:rFonts w:ascii="Arial" w:hAnsi="Arial" w:hint="default"/>
      </w:rPr>
    </w:lvl>
    <w:lvl w:ilvl="2" w:tplc="F3B0409E" w:tentative="1">
      <w:start w:val="1"/>
      <w:numFmt w:val="bullet"/>
      <w:lvlText w:val="•"/>
      <w:lvlJc w:val="left"/>
      <w:pPr>
        <w:tabs>
          <w:tab w:val="num" w:pos="2160"/>
        </w:tabs>
        <w:ind w:left="2160" w:hanging="360"/>
      </w:pPr>
      <w:rPr>
        <w:rFonts w:ascii="Arial" w:hAnsi="Arial" w:hint="default"/>
      </w:rPr>
    </w:lvl>
    <w:lvl w:ilvl="3" w:tplc="389E83B6" w:tentative="1">
      <w:start w:val="1"/>
      <w:numFmt w:val="bullet"/>
      <w:lvlText w:val="•"/>
      <w:lvlJc w:val="left"/>
      <w:pPr>
        <w:tabs>
          <w:tab w:val="num" w:pos="2880"/>
        </w:tabs>
        <w:ind w:left="2880" w:hanging="360"/>
      </w:pPr>
      <w:rPr>
        <w:rFonts w:ascii="Arial" w:hAnsi="Arial" w:hint="default"/>
      </w:rPr>
    </w:lvl>
    <w:lvl w:ilvl="4" w:tplc="6960DE92" w:tentative="1">
      <w:start w:val="1"/>
      <w:numFmt w:val="bullet"/>
      <w:lvlText w:val="•"/>
      <w:lvlJc w:val="left"/>
      <w:pPr>
        <w:tabs>
          <w:tab w:val="num" w:pos="3600"/>
        </w:tabs>
        <w:ind w:left="3600" w:hanging="360"/>
      </w:pPr>
      <w:rPr>
        <w:rFonts w:ascii="Arial" w:hAnsi="Arial" w:hint="default"/>
      </w:rPr>
    </w:lvl>
    <w:lvl w:ilvl="5" w:tplc="4B5093B2" w:tentative="1">
      <w:start w:val="1"/>
      <w:numFmt w:val="bullet"/>
      <w:lvlText w:val="•"/>
      <w:lvlJc w:val="left"/>
      <w:pPr>
        <w:tabs>
          <w:tab w:val="num" w:pos="4320"/>
        </w:tabs>
        <w:ind w:left="4320" w:hanging="360"/>
      </w:pPr>
      <w:rPr>
        <w:rFonts w:ascii="Arial" w:hAnsi="Arial" w:hint="default"/>
      </w:rPr>
    </w:lvl>
    <w:lvl w:ilvl="6" w:tplc="A58441AC" w:tentative="1">
      <w:start w:val="1"/>
      <w:numFmt w:val="bullet"/>
      <w:lvlText w:val="•"/>
      <w:lvlJc w:val="left"/>
      <w:pPr>
        <w:tabs>
          <w:tab w:val="num" w:pos="5040"/>
        </w:tabs>
        <w:ind w:left="5040" w:hanging="360"/>
      </w:pPr>
      <w:rPr>
        <w:rFonts w:ascii="Arial" w:hAnsi="Arial" w:hint="default"/>
      </w:rPr>
    </w:lvl>
    <w:lvl w:ilvl="7" w:tplc="D6365FFE" w:tentative="1">
      <w:start w:val="1"/>
      <w:numFmt w:val="bullet"/>
      <w:lvlText w:val="•"/>
      <w:lvlJc w:val="left"/>
      <w:pPr>
        <w:tabs>
          <w:tab w:val="num" w:pos="5760"/>
        </w:tabs>
        <w:ind w:left="5760" w:hanging="360"/>
      </w:pPr>
      <w:rPr>
        <w:rFonts w:ascii="Arial" w:hAnsi="Arial" w:hint="default"/>
      </w:rPr>
    </w:lvl>
    <w:lvl w:ilvl="8" w:tplc="0BFE82F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B5957"/>
    <w:multiLevelType w:val="hybridMultilevel"/>
    <w:tmpl w:val="4DDC5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B965D33"/>
    <w:multiLevelType w:val="hybridMultilevel"/>
    <w:tmpl w:val="8D8845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A22F6F"/>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5D165A00"/>
    <w:multiLevelType w:val="hybridMultilevel"/>
    <w:tmpl w:val="F3F24B2E"/>
    <w:lvl w:ilvl="0" w:tplc="040B0017">
      <w:start w:val="1"/>
      <w:numFmt w:val="lowerLetter"/>
      <w:lvlText w:val="%1)"/>
      <w:lvlJc w:val="left"/>
      <w:pPr>
        <w:ind w:left="1004" w:hanging="360"/>
      </w:pPr>
      <w:rPr>
        <w:rFonts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6" w15:restartNumberingAfterBreak="0">
    <w:nsid w:val="5E966925"/>
    <w:multiLevelType w:val="hybridMultilevel"/>
    <w:tmpl w:val="D9529630"/>
    <w:lvl w:ilvl="0" w:tplc="4C8ADA8A">
      <w:start w:val="1"/>
      <w:numFmt w:val="bullet"/>
      <w:lvlText w:val="•"/>
      <w:lvlJc w:val="left"/>
      <w:pPr>
        <w:tabs>
          <w:tab w:val="num" w:pos="346"/>
        </w:tabs>
        <w:ind w:left="346" w:hanging="360"/>
      </w:pPr>
      <w:rPr>
        <w:rFonts w:ascii="Arial" w:hAnsi="Arial" w:cs="Times New Roman" w:hint="default"/>
      </w:rPr>
    </w:lvl>
    <w:lvl w:ilvl="1" w:tplc="7AA8244A">
      <w:numFmt w:val="bullet"/>
      <w:lvlText w:val="•"/>
      <w:lvlJc w:val="left"/>
      <w:pPr>
        <w:tabs>
          <w:tab w:val="num" w:pos="1066"/>
        </w:tabs>
        <w:ind w:left="1066" w:hanging="360"/>
      </w:pPr>
      <w:rPr>
        <w:rFonts w:ascii="Arial" w:hAnsi="Arial" w:cs="Times New Roman" w:hint="default"/>
      </w:rPr>
    </w:lvl>
    <w:lvl w:ilvl="2" w:tplc="6DEEE1E8">
      <w:numFmt w:val="bullet"/>
      <w:lvlText w:val="•"/>
      <w:lvlJc w:val="left"/>
      <w:pPr>
        <w:tabs>
          <w:tab w:val="num" w:pos="1786"/>
        </w:tabs>
        <w:ind w:left="1786" w:hanging="360"/>
      </w:pPr>
      <w:rPr>
        <w:rFonts w:ascii="Arial" w:hAnsi="Arial" w:cs="Times New Roman" w:hint="default"/>
      </w:rPr>
    </w:lvl>
    <w:lvl w:ilvl="3" w:tplc="2408CBA8">
      <w:start w:val="1"/>
      <w:numFmt w:val="bullet"/>
      <w:lvlText w:val="•"/>
      <w:lvlJc w:val="left"/>
      <w:pPr>
        <w:tabs>
          <w:tab w:val="num" w:pos="2506"/>
        </w:tabs>
        <w:ind w:left="2506" w:hanging="360"/>
      </w:pPr>
      <w:rPr>
        <w:rFonts w:ascii="Arial" w:hAnsi="Arial" w:cs="Times New Roman" w:hint="default"/>
      </w:rPr>
    </w:lvl>
    <w:lvl w:ilvl="4" w:tplc="85FED290">
      <w:start w:val="1"/>
      <w:numFmt w:val="bullet"/>
      <w:lvlText w:val="•"/>
      <w:lvlJc w:val="left"/>
      <w:pPr>
        <w:tabs>
          <w:tab w:val="num" w:pos="3226"/>
        </w:tabs>
        <w:ind w:left="3226" w:hanging="360"/>
      </w:pPr>
      <w:rPr>
        <w:rFonts w:ascii="Arial" w:hAnsi="Arial" w:cs="Times New Roman" w:hint="default"/>
      </w:rPr>
    </w:lvl>
    <w:lvl w:ilvl="5" w:tplc="7318E99E">
      <w:start w:val="1"/>
      <w:numFmt w:val="bullet"/>
      <w:lvlText w:val="•"/>
      <w:lvlJc w:val="left"/>
      <w:pPr>
        <w:tabs>
          <w:tab w:val="num" w:pos="3946"/>
        </w:tabs>
        <w:ind w:left="3946" w:hanging="360"/>
      </w:pPr>
      <w:rPr>
        <w:rFonts w:ascii="Arial" w:hAnsi="Arial" w:cs="Times New Roman" w:hint="default"/>
      </w:rPr>
    </w:lvl>
    <w:lvl w:ilvl="6" w:tplc="0FF0F018">
      <w:start w:val="1"/>
      <w:numFmt w:val="bullet"/>
      <w:lvlText w:val="•"/>
      <w:lvlJc w:val="left"/>
      <w:pPr>
        <w:tabs>
          <w:tab w:val="num" w:pos="4666"/>
        </w:tabs>
        <w:ind w:left="4666" w:hanging="360"/>
      </w:pPr>
      <w:rPr>
        <w:rFonts w:ascii="Arial" w:hAnsi="Arial" w:cs="Times New Roman" w:hint="default"/>
      </w:rPr>
    </w:lvl>
    <w:lvl w:ilvl="7" w:tplc="5250324A">
      <w:start w:val="1"/>
      <w:numFmt w:val="bullet"/>
      <w:lvlText w:val="•"/>
      <w:lvlJc w:val="left"/>
      <w:pPr>
        <w:tabs>
          <w:tab w:val="num" w:pos="5386"/>
        </w:tabs>
        <w:ind w:left="5386" w:hanging="360"/>
      </w:pPr>
      <w:rPr>
        <w:rFonts w:ascii="Arial" w:hAnsi="Arial" w:cs="Times New Roman" w:hint="default"/>
      </w:rPr>
    </w:lvl>
    <w:lvl w:ilvl="8" w:tplc="9068572A">
      <w:start w:val="1"/>
      <w:numFmt w:val="bullet"/>
      <w:lvlText w:val="•"/>
      <w:lvlJc w:val="left"/>
      <w:pPr>
        <w:tabs>
          <w:tab w:val="num" w:pos="6106"/>
        </w:tabs>
        <w:ind w:left="6106" w:hanging="360"/>
      </w:pPr>
      <w:rPr>
        <w:rFonts w:ascii="Arial" w:hAnsi="Arial" w:cs="Times New Roman" w:hint="default"/>
      </w:rPr>
    </w:lvl>
  </w:abstractNum>
  <w:abstractNum w:abstractNumId="37" w15:restartNumberingAfterBreak="0">
    <w:nsid w:val="67C547E8"/>
    <w:multiLevelType w:val="hybridMultilevel"/>
    <w:tmpl w:val="C0FC1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E10B18"/>
    <w:multiLevelType w:val="hybridMultilevel"/>
    <w:tmpl w:val="2AC64B46"/>
    <w:lvl w:ilvl="0" w:tplc="2DE87A4C">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20F00"/>
    <w:multiLevelType w:val="hybridMultilevel"/>
    <w:tmpl w:val="A0E88D6E"/>
    <w:lvl w:ilvl="0" w:tplc="0A1E87F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C440DE4"/>
    <w:multiLevelType w:val="hybridMultilevel"/>
    <w:tmpl w:val="2C04E43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5"/>
  </w:num>
  <w:num w:numId="2">
    <w:abstractNumId w:val="31"/>
  </w:num>
  <w:num w:numId="3">
    <w:abstractNumId w:val="4"/>
  </w:num>
  <w:num w:numId="4">
    <w:abstractNumId w:val="30"/>
  </w:num>
  <w:num w:numId="5">
    <w:abstractNumId w:val="20"/>
  </w:num>
  <w:num w:numId="6">
    <w:abstractNumId w:val="40"/>
  </w:num>
  <w:num w:numId="7">
    <w:abstractNumId w:val="1"/>
  </w:num>
  <w:num w:numId="8">
    <w:abstractNumId w:val="22"/>
  </w:num>
  <w:num w:numId="9">
    <w:abstractNumId w:val="25"/>
  </w:num>
  <w:num w:numId="10">
    <w:abstractNumId w:val="5"/>
  </w:num>
  <w:num w:numId="11">
    <w:abstractNumId w:val="23"/>
  </w:num>
  <w:num w:numId="12">
    <w:abstractNumId w:val="18"/>
  </w:num>
  <w:num w:numId="13">
    <w:abstractNumId w:val="19"/>
  </w:num>
  <w:num w:numId="14">
    <w:abstractNumId w:val="26"/>
  </w:num>
  <w:num w:numId="15">
    <w:abstractNumId w:val="14"/>
  </w:num>
  <w:num w:numId="16">
    <w:abstractNumId w:val="7"/>
  </w:num>
  <w:num w:numId="17">
    <w:abstractNumId w:val="28"/>
  </w:num>
  <w:num w:numId="18">
    <w:abstractNumId w:val="33"/>
  </w:num>
  <w:num w:numId="19">
    <w:abstractNumId w:val="24"/>
  </w:num>
  <w:num w:numId="20">
    <w:abstractNumId w:val="29"/>
  </w:num>
  <w:num w:numId="21">
    <w:abstractNumId w:val="27"/>
  </w:num>
  <w:num w:numId="22">
    <w:abstractNumId w:val="16"/>
  </w:num>
  <w:num w:numId="23">
    <w:abstractNumId w:val="36"/>
  </w:num>
  <w:num w:numId="24">
    <w:abstractNumId w:val="21"/>
  </w:num>
  <w:num w:numId="25">
    <w:abstractNumId w:val="12"/>
  </w:num>
  <w:num w:numId="26">
    <w:abstractNumId w:val="34"/>
  </w:num>
  <w:num w:numId="27">
    <w:abstractNumId w:val="6"/>
  </w:num>
  <w:num w:numId="28">
    <w:abstractNumId w:val="17"/>
  </w:num>
  <w:num w:numId="29">
    <w:abstractNumId w:val="41"/>
  </w:num>
  <w:num w:numId="30">
    <w:abstractNumId w:val="32"/>
  </w:num>
  <w:num w:numId="31">
    <w:abstractNumId w:val="3"/>
  </w:num>
  <w:num w:numId="32">
    <w:abstractNumId w:val="35"/>
  </w:num>
  <w:num w:numId="33">
    <w:abstractNumId w:val="2"/>
  </w:num>
  <w:num w:numId="34">
    <w:abstractNumId w:val="11"/>
  </w:num>
  <w:num w:numId="35">
    <w:abstractNumId w:val="10"/>
  </w:num>
  <w:num w:numId="36">
    <w:abstractNumId w:val="0"/>
  </w:num>
  <w:num w:numId="37">
    <w:abstractNumId w:val="9"/>
  </w:num>
  <w:num w:numId="38">
    <w:abstractNumId w:val="13"/>
  </w:num>
  <w:num w:numId="39">
    <w:abstractNumId w:val="38"/>
  </w:num>
  <w:num w:numId="40">
    <w:abstractNumId w:val="8"/>
  </w:num>
  <w:num w:numId="41">
    <w:abstractNumId w:val="37"/>
  </w:num>
  <w:num w:numId="42">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4AC8"/>
    <w:rsid w:val="00005C64"/>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D68"/>
    <w:rsid w:val="00014F35"/>
    <w:rsid w:val="00015F98"/>
    <w:rsid w:val="000166AC"/>
    <w:rsid w:val="00017B7F"/>
    <w:rsid w:val="00017EDA"/>
    <w:rsid w:val="000215BE"/>
    <w:rsid w:val="00021662"/>
    <w:rsid w:val="00022DCB"/>
    <w:rsid w:val="00023742"/>
    <w:rsid w:val="00024AEF"/>
    <w:rsid w:val="00026C65"/>
    <w:rsid w:val="00027755"/>
    <w:rsid w:val="000277A9"/>
    <w:rsid w:val="00030048"/>
    <w:rsid w:val="0003072D"/>
    <w:rsid w:val="000314CD"/>
    <w:rsid w:val="0003163F"/>
    <w:rsid w:val="000317E7"/>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9CE"/>
    <w:rsid w:val="00047FFA"/>
    <w:rsid w:val="00050112"/>
    <w:rsid w:val="00050466"/>
    <w:rsid w:val="000505CC"/>
    <w:rsid w:val="000511F9"/>
    <w:rsid w:val="0005151E"/>
    <w:rsid w:val="0005230E"/>
    <w:rsid w:val="00052850"/>
    <w:rsid w:val="000528A2"/>
    <w:rsid w:val="00052BBA"/>
    <w:rsid w:val="00054B59"/>
    <w:rsid w:val="00054D9D"/>
    <w:rsid w:val="00055676"/>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37C9"/>
    <w:rsid w:val="0007494F"/>
    <w:rsid w:val="00075FDA"/>
    <w:rsid w:val="00076386"/>
    <w:rsid w:val="00076D82"/>
    <w:rsid w:val="00077655"/>
    <w:rsid w:val="00080284"/>
    <w:rsid w:val="00081EC2"/>
    <w:rsid w:val="000823FE"/>
    <w:rsid w:val="000825E2"/>
    <w:rsid w:val="00082B41"/>
    <w:rsid w:val="00083800"/>
    <w:rsid w:val="00084A65"/>
    <w:rsid w:val="00085090"/>
    <w:rsid w:val="00086572"/>
    <w:rsid w:val="00090EDD"/>
    <w:rsid w:val="00091A92"/>
    <w:rsid w:val="00093C49"/>
    <w:rsid w:val="0009508C"/>
    <w:rsid w:val="0009556A"/>
    <w:rsid w:val="00095A80"/>
    <w:rsid w:val="00096A43"/>
    <w:rsid w:val="000973C8"/>
    <w:rsid w:val="000973E1"/>
    <w:rsid w:val="0009774C"/>
    <w:rsid w:val="000A1402"/>
    <w:rsid w:val="000A1DFC"/>
    <w:rsid w:val="000A20BA"/>
    <w:rsid w:val="000A262C"/>
    <w:rsid w:val="000A38C0"/>
    <w:rsid w:val="000A3C8D"/>
    <w:rsid w:val="000A40EA"/>
    <w:rsid w:val="000A40EC"/>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1D59"/>
    <w:rsid w:val="000C347C"/>
    <w:rsid w:val="000C4AEB"/>
    <w:rsid w:val="000C501D"/>
    <w:rsid w:val="000C74BA"/>
    <w:rsid w:val="000C7531"/>
    <w:rsid w:val="000C7C3F"/>
    <w:rsid w:val="000D02C6"/>
    <w:rsid w:val="000D0BD6"/>
    <w:rsid w:val="000D0C61"/>
    <w:rsid w:val="000D27AD"/>
    <w:rsid w:val="000D29D1"/>
    <w:rsid w:val="000D2B0A"/>
    <w:rsid w:val="000D3286"/>
    <w:rsid w:val="000D344D"/>
    <w:rsid w:val="000D40E7"/>
    <w:rsid w:val="000D584F"/>
    <w:rsid w:val="000D6DCC"/>
    <w:rsid w:val="000D794A"/>
    <w:rsid w:val="000E071E"/>
    <w:rsid w:val="000E27AA"/>
    <w:rsid w:val="000E337A"/>
    <w:rsid w:val="000E3456"/>
    <w:rsid w:val="000E4350"/>
    <w:rsid w:val="000E4408"/>
    <w:rsid w:val="000E5716"/>
    <w:rsid w:val="000E75EA"/>
    <w:rsid w:val="000E7A79"/>
    <w:rsid w:val="000F0E97"/>
    <w:rsid w:val="000F15B2"/>
    <w:rsid w:val="000F19DE"/>
    <w:rsid w:val="000F2E1F"/>
    <w:rsid w:val="000F37B0"/>
    <w:rsid w:val="000F4389"/>
    <w:rsid w:val="000F4595"/>
    <w:rsid w:val="000F45EC"/>
    <w:rsid w:val="000F46C5"/>
    <w:rsid w:val="000F4CB2"/>
    <w:rsid w:val="000F568D"/>
    <w:rsid w:val="000F6351"/>
    <w:rsid w:val="000F67CF"/>
    <w:rsid w:val="00101C4F"/>
    <w:rsid w:val="00102C9F"/>
    <w:rsid w:val="001036C8"/>
    <w:rsid w:val="001068D2"/>
    <w:rsid w:val="001103BD"/>
    <w:rsid w:val="00111208"/>
    <w:rsid w:val="00111808"/>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2B71"/>
    <w:rsid w:val="0013427A"/>
    <w:rsid w:val="001362C2"/>
    <w:rsid w:val="001364DB"/>
    <w:rsid w:val="00136955"/>
    <w:rsid w:val="00136E19"/>
    <w:rsid w:val="001371B2"/>
    <w:rsid w:val="00137873"/>
    <w:rsid w:val="00137D78"/>
    <w:rsid w:val="001409A0"/>
    <w:rsid w:val="00141125"/>
    <w:rsid w:val="00141F08"/>
    <w:rsid w:val="00141FF2"/>
    <w:rsid w:val="00142026"/>
    <w:rsid w:val="0014287A"/>
    <w:rsid w:val="00142DE2"/>
    <w:rsid w:val="00144C87"/>
    <w:rsid w:val="001467B1"/>
    <w:rsid w:val="00150175"/>
    <w:rsid w:val="001502C8"/>
    <w:rsid w:val="0015130F"/>
    <w:rsid w:val="00151892"/>
    <w:rsid w:val="001540E4"/>
    <w:rsid w:val="00155464"/>
    <w:rsid w:val="00155BFD"/>
    <w:rsid w:val="00157390"/>
    <w:rsid w:val="00160998"/>
    <w:rsid w:val="00160CD6"/>
    <w:rsid w:val="0016316A"/>
    <w:rsid w:val="00164171"/>
    <w:rsid w:val="00164DC9"/>
    <w:rsid w:val="00164E58"/>
    <w:rsid w:val="00165033"/>
    <w:rsid w:val="00165B18"/>
    <w:rsid w:val="001670EA"/>
    <w:rsid w:val="001674A0"/>
    <w:rsid w:val="001675D8"/>
    <w:rsid w:val="00170205"/>
    <w:rsid w:val="00170A50"/>
    <w:rsid w:val="0017157A"/>
    <w:rsid w:val="001718FF"/>
    <w:rsid w:val="00171F0C"/>
    <w:rsid w:val="00174FFD"/>
    <w:rsid w:val="001759CA"/>
    <w:rsid w:val="00176E51"/>
    <w:rsid w:val="0017726A"/>
    <w:rsid w:val="00177B88"/>
    <w:rsid w:val="00177DD3"/>
    <w:rsid w:val="00180278"/>
    <w:rsid w:val="001818A7"/>
    <w:rsid w:val="00182725"/>
    <w:rsid w:val="001829C8"/>
    <w:rsid w:val="00182CA0"/>
    <w:rsid w:val="00183FB0"/>
    <w:rsid w:val="00184098"/>
    <w:rsid w:val="00185D8A"/>
    <w:rsid w:val="00186904"/>
    <w:rsid w:val="00186B0A"/>
    <w:rsid w:val="001905BD"/>
    <w:rsid w:val="00190946"/>
    <w:rsid w:val="001925BD"/>
    <w:rsid w:val="00192699"/>
    <w:rsid w:val="00192FE6"/>
    <w:rsid w:val="00193451"/>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1D02"/>
    <w:rsid w:val="001B25D9"/>
    <w:rsid w:val="001B2762"/>
    <w:rsid w:val="001B36FC"/>
    <w:rsid w:val="001B41ED"/>
    <w:rsid w:val="001B4607"/>
    <w:rsid w:val="001B4F86"/>
    <w:rsid w:val="001B69CA"/>
    <w:rsid w:val="001B7E0C"/>
    <w:rsid w:val="001C0674"/>
    <w:rsid w:val="001C0BC6"/>
    <w:rsid w:val="001C18A9"/>
    <w:rsid w:val="001C226F"/>
    <w:rsid w:val="001C4130"/>
    <w:rsid w:val="001C52F3"/>
    <w:rsid w:val="001C66AC"/>
    <w:rsid w:val="001C6754"/>
    <w:rsid w:val="001C77F0"/>
    <w:rsid w:val="001C7A39"/>
    <w:rsid w:val="001D1B8A"/>
    <w:rsid w:val="001D2304"/>
    <w:rsid w:val="001D2B7D"/>
    <w:rsid w:val="001D46A0"/>
    <w:rsid w:val="001D4E22"/>
    <w:rsid w:val="001D5FB0"/>
    <w:rsid w:val="001D689E"/>
    <w:rsid w:val="001D7CA4"/>
    <w:rsid w:val="001D7E58"/>
    <w:rsid w:val="001E1791"/>
    <w:rsid w:val="001E30A0"/>
    <w:rsid w:val="001E3F75"/>
    <w:rsid w:val="001E4D4F"/>
    <w:rsid w:val="001E57CF"/>
    <w:rsid w:val="001E5981"/>
    <w:rsid w:val="001E74BA"/>
    <w:rsid w:val="001E7B9F"/>
    <w:rsid w:val="001F01FB"/>
    <w:rsid w:val="001F0658"/>
    <w:rsid w:val="001F0E92"/>
    <w:rsid w:val="001F1306"/>
    <w:rsid w:val="001F1987"/>
    <w:rsid w:val="001F23BD"/>
    <w:rsid w:val="001F34DA"/>
    <w:rsid w:val="001F4DAC"/>
    <w:rsid w:val="001F5019"/>
    <w:rsid w:val="001F53CA"/>
    <w:rsid w:val="001F650F"/>
    <w:rsid w:val="001F67AA"/>
    <w:rsid w:val="001F692F"/>
    <w:rsid w:val="001F7599"/>
    <w:rsid w:val="00204663"/>
    <w:rsid w:val="00204B3A"/>
    <w:rsid w:val="00204E26"/>
    <w:rsid w:val="0020535A"/>
    <w:rsid w:val="00205F67"/>
    <w:rsid w:val="00206955"/>
    <w:rsid w:val="00210309"/>
    <w:rsid w:val="00212FB8"/>
    <w:rsid w:val="00213709"/>
    <w:rsid w:val="002149AF"/>
    <w:rsid w:val="00214A86"/>
    <w:rsid w:val="00215664"/>
    <w:rsid w:val="00215AAA"/>
    <w:rsid w:val="0021683C"/>
    <w:rsid w:val="00216B2E"/>
    <w:rsid w:val="00220E52"/>
    <w:rsid w:val="0022170C"/>
    <w:rsid w:val="00221985"/>
    <w:rsid w:val="00221EC5"/>
    <w:rsid w:val="00222A7A"/>
    <w:rsid w:val="00223C69"/>
    <w:rsid w:val="00224A2C"/>
    <w:rsid w:val="002256D9"/>
    <w:rsid w:val="00225FFF"/>
    <w:rsid w:val="0022687C"/>
    <w:rsid w:val="002269C0"/>
    <w:rsid w:val="00227BDA"/>
    <w:rsid w:val="002306F8"/>
    <w:rsid w:val="00230A0F"/>
    <w:rsid w:val="002312F4"/>
    <w:rsid w:val="002313A2"/>
    <w:rsid w:val="00231FC7"/>
    <w:rsid w:val="00232930"/>
    <w:rsid w:val="00232A95"/>
    <w:rsid w:val="00232DD9"/>
    <w:rsid w:val="00233403"/>
    <w:rsid w:val="00233440"/>
    <w:rsid w:val="00233500"/>
    <w:rsid w:val="00233938"/>
    <w:rsid w:val="00233D0E"/>
    <w:rsid w:val="00236450"/>
    <w:rsid w:val="0023765A"/>
    <w:rsid w:val="00237921"/>
    <w:rsid w:val="00241311"/>
    <w:rsid w:val="00242E22"/>
    <w:rsid w:val="0024336B"/>
    <w:rsid w:val="0024424F"/>
    <w:rsid w:val="00244D28"/>
    <w:rsid w:val="00245720"/>
    <w:rsid w:val="00245A6F"/>
    <w:rsid w:val="00245FD5"/>
    <w:rsid w:val="002465E4"/>
    <w:rsid w:val="00246C0C"/>
    <w:rsid w:val="002477DF"/>
    <w:rsid w:val="00250726"/>
    <w:rsid w:val="0025074A"/>
    <w:rsid w:val="00251AD6"/>
    <w:rsid w:val="00252BBC"/>
    <w:rsid w:val="00252C17"/>
    <w:rsid w:val="0025307F"/>
    <w:rsid w:val="002551BD"/>
    <w:rsid w:val="002568D0"/>
    <w:rsid w:val="00257FFB"/>
    <w:rsid w:val="0026198E"/>
    <w:rsid w:val="00262661"/>
    <w:rsid w:val="00262AE0"/>
    <w:rsid w:val="002632DF"/>
    <w:rsid w:val="0026400A"/>
    <w:rsid w:val="002640BA"/>
    <w:rsid w:val="00264CF2"/>
    <w:rsid w:val="00266462"/>
    <w:rsid w:val="00267587"/>
    <w:rsid w:val="00270822"/>
    <w:rsid w:val="00271589"/>
    <w:rsid w:val="00273177"/>
    <w:rsid w:val="00275074"/>
    <w:rsid w:val="002763E9"/>
    <w:rsid w:val="00276736"/>
    <w:rsid w:val="00283B8D"/>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445"/>
    <w:rsid w:val="00294B4D"/>
    <w:rsid w:val="00294E53"/>
    <w:rsid w:val="0029518B"/>
    <w:rsid w:val="002960D5"/>
    <w:rsid w:val="00296371"/>
    <w:rsid w:val="0029687F"/>
    <w:rsid w:val="002A1062"/>
    <w:rsid w:val="002A2012"/>
    <w:rsid w:val="002A2413"/>
    <w:rsid w:val="002A2F5E"/>
    <w:rsid w:val="002A352A"/>
    <w:rsid w:val="002A607D"/>
    <w:rsid w:val="002A7D9C"/>
    <w:rsid w:val="002B132E"/>
    <w:rsid w:val="002B2813"/>
    <w:rsid w:val="002B2D29"/>
    <w:rsid w:val="002B3B5A"/>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FA1"/>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38F8"/>
    <w:rsid w:val="00304210"/>
    <w:rsid w:val="003048D7"/>
    <w:rsid w:val="00304A1B"/>
    <w:rsid w:val="00304AD2"/>
    <w:rsid w:val="003062E6"/>
    <w:rsid w:val="003068B6"/>
    <w:rsid w:val="003071F6"/>
    <w:rsid w:val="00307A18"/>
    <w:rsid w:val="00307FE0"/>
    <w:rsid w:val="0031094B"/>
    <w:rsid w:val="00311C08"/>
    <w:rsid w:val="00312567"/>
    <w:rsid w:val="00312ECE"/>
    <w:rsid w:val="0031393C"/>
    <w:rsid w:val="00313CB0"/>
    <w:rsid w:val="00313F96"/>
    <w:rsid w:val="003150CE"/>
    <w:rsid w:val="00315AAB"/>
    <w:rsid w:val="00316166"/>
    <w:rsid w:val="0031734F"/>
    <w:rsid w:val="003175E1"/>
    <w:rsid w:val="00320299"/>
    <w:rsid w:val="0032079F"/>
    <w:rsid w:val="00321154"/>
    <w:rsid w:val="003211B0"/>
    <w:rsid w:val="00321EDA"/>
    <w:rsid w:val="0032235B"/>
    <w:rsid w:val="003224AA"/>
    <w:rsid w:val="003224E7"/>
    <w:rsid w:val="00322CA0"/>
    <w:rsid w:val="00325D7A"/>
    <w:rsid w:val="00326145"/>
    <w:rsid w:val="00327163"/>
    <w:rsid w:val="00327305"/>
    <w:rsid w:val="00327531"/>
    <w:rsid w:val="00330187"/>
    <w:rsid w:val="00330D47"/>
    <w:rsid w:val="00331C77"/>
    <w:rsid w:val="00331DB6"/>
    <w:rsid w:val="00331F96"/>
    <w:rsid w:val="00332B55"/>
    <w:rsid w:val="00335EA8"/>
    <w:rsid w:val="003363DD"/>
    <w:rsid w:val="00340361"/>
    <w:rsid w:val="00340795"/>
    <w:rsid w:val="00340D5F"/>
    <w:rsid w:val="0034111C"/>
    <w:rsid w:val="00341E60"/>
    <w:rsid w:val="0034217F"/>
    <w:rsid w:val="00342AD2"/>
    <w:rsid w:val="00343954"/>
    <w:rsid w:val="00345405"/>
    <w:rsid w:val="00345612"/>
    <w:rsid w:val="00345DDD"/>
    <w:rsid w:val="00346FED"/>
    <w:rsid w:val="0035007F"/>
    <w:rsid w:val="00351E01"/>
    <w:rsid w:val="0035274C"/>
    <w:rsid w:val="00352D21"/>
    <w:rsid w:val="0035443D"/>
    <w:rsid w:val="00354FEE"/>
    <w:rsid w:val="0035536A"/>
    <w:rsid w:val="00356275"/>
    <w:rsid w:val="003569B7"/>
    <w:rsid w:val="00356B54"/>
    <w:rsid w:val="00356BE8"/>
    <w:rsid w:val="00356C0B"/>
    <w:rsid w:val="00357B9C"/>
    <w:rsid w:val="00361412"/>
    <w:rsid w:val="003615CA"/>
    <w:rsid w:val="00363346"/>
    <w:rsid w:val="003642A6"/>
    <w:rsid w:val="00364853"/>
    <w:rsid w:val="00365DB5"/>
    <w:rsid w:val="00367337"/>
    <w:rsid w:val="00367367"/>
    <w:rsid w:val="00367FD8"/>
    <w:rsid w:val="00370B63"/>
    <w:rsid w:val="00370FCC"/>
    <w:rsid w:val="003711AF"/>
    <w:rsid w:val="00371364"/>
    <w:rsid w:val="003733E5"/>
    <w:rsid w:val="00374848"/>
    <w:rsid w:val="003757B7"/>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6EAE"/>
    <w:rsid w:val="00397AB6"/>
    <w:rsid w:val="00397ACA"/>
    <w:rsid w:val="003A10C3"/>
    <w:rsid w:val="003A1F6B"/>
    <w:rsid w:val="003A597F"/>
    <w:rsid w:val="003A71A8"/>
    <w:rsid w:val="003A7926"/>
    <w:rsid w:val="003B00CA"/>
    <w:rsid w:val="003B030B"/>
    <w:rsid w:val="003B0432"/>
    <w:rsid w:val="003B05D9"/>
    <w:rsid w:val="003B0821"/>
    <w:rsid w:val="003B0BE9"/>
    <w:rsid w:val="003B0DAF"/>
    <w:rsid w:val="003B112D"/>
    <w:rsid w:val="003B19F8"/>
    <w:rsid w:val="003B2E9B"/>
    <w:rsid w:val="003B2F8D"/>
    <w:rsid w:val="003B4FAA"/>
    <w:rsid w:val="003B547A"/>
    <w:rsid w:val="003B68C8"/>
    <w:rsid w:val="003B6B33"/>
    <w:rsid w:val="003B6CB0"/>
    <w:rsid w:val="003B75B9"/>
    <w:rsid w:val="003B7D4D"/>
    <w:rsid w:val="003C0DA2"/>
    <w:rsid w:val="003C0DBA"/>
    <w:rsid w:val="003C1A18"/>
    <w:rsid w:val="003C3261"/>
    <w:rsid w:val="003C5A08"/>
    <w:rsid w:val="003C5C41"/>
    <w:rsid w:val="003C7461"/>
    <w:rsid w:val="003D0788"/>
    <w:rsid w:val="003D0E0F"/>
    <w:rsid w:val="003D132A"/>
    <w:rsid w:val="003D1517"/>
    <w:rsid w:val="003D2938"/>
    <w:rsid w:val="003D2C75"/>
    <w:rsid w:val="003D3FBA"/>
    <w:rsid w:val="003D402B"/>
    <w:rsid w:val="003D4444"/>
    <w:rsid w:val="003D764F"/>
    <w:rsid w:val="003D7D81"/>
    <w:rsid w:val="003E04EB"/>
    <w:rsid w:val="003E0667"/>
    <w:rsid w:val="003E0BCE"/>
    <w:rsid w:val="003E13E0"/>
    <w:rsid w:val="003E1660"/>
    <w:rsid w:val="003E1CD1"/>
    <w:rsid w:val="003E2596"/>
    <w:rsid w:val="003E2A2D"/>
    <w:rsid w:val="003E2EEE"/>
    <w:rsid w:val="003E40BD"/>
    <w:rsid w:val="003E473F"/>
    <w:rsid w:val="003E521F"/>
    <w:rsid w:val="003E64A9"/>
    <w:rsid w:val="003E7002"/>
    <w:rsid w:val="003E7905"/>
    <w:rsid w:val="003F0336"/>
    <w:rsid w:val="003F2147"/>
    <w:rsid w:val="003F4488"/>
    <w:rsid w:val="003F53EE"/>
    <w:rsid w:val="003F5547"/>
    <w:rsid w:val="003F5C40"/>
    <w:rsid w:val="003F6E12"/>
    <w:rsid w:val="003F75ED"/>
    <w:rsid w:val="004002B7"/>
    <w:rsid w:val="00400F31"/>
    <w:rsid w:val="004012AE"/>
    <w:rsid w:val="0040130A"/>
    <w:rsid w:val="00402295"/>
    <w:rsid w:val="00406B4D"/>
    <w:rsid w:val="00407F6A"/>
    <w:rsid w:val="0041443C"/>
    <w:rsid w:val="004154F7"/>
    <w:rsid w:val="00416D44"/>
    <w:rsid w:val="004176FF"/>
    <w:rsid w:val="00420218"/>
    <w:rsid w:val="00420A7A"/>
    <w:rsid w:val="00420D06"/>
    <w:rsid w:val="00421A27"/>
    <w:rsid w:val="00421D0A"/>
    <w:rsid w:val="004221AD"/>
    <w:rsid w:val="004229D8"/>
    <w:rsid w:val="0042416C"/>
    <w:rsid w:val="004241C5"/>
    <w:rsid w:val="00424641"/>
    <w:rsid w:val="00424FA7"/>
    <w:rsid w:val="00424FBD"/>
    <w:rsid w:val="00426A87"/>
    <w:rsid w:val="004309D8"/>
    <w:rsid w:val="004313D1"/>
    <w:rsid w:val="00431FD5"/>
    <w:rsid w:val="00432110"/>
    <w:rsid w:val="00433EBE"/>
    <w:rsid w:val="00434406"/>
    <w:rsid w:val="0043751F"/>
    <w:rsid w:val="00440FED"/>
    <w:rsid w:val="00441194"/>
    <w:rsid w:val="00441B0A"/>
    <w:rsid w:val="00441B92"/>
    <w:rsid w:val="00442607"/>
    <w:rsid w:val="0044474B"/>
    <w:rsid w:val="00445FF7"/>
    <w:rsid w:val="00447827"/>
    <w:rsid w:val="004501CE"/>
    <w:rsid w:val="0045097F"/>
    <w:rsid w:val="00453341"/>
    <w:rsid w:val="004545C6"/>
    <w:rsid w:val="0045477B"/>
    <w:rsid w:val="00454DCA"/>
    <w:rsid w:val="00455B17"/>
    <w:rsid w:val="00455FE9"/>
    <w:rsid w:val="004561C0"/>
    <w:rsid w:val="00456544"/>
    <w:rsid w:val="00456649"/>
    <w:rsid w:val="004567B7"/>
    <w:rsid w:val="00456856"/>
    <w:rsid w:val="00457810"/>
    <w:rsid w:val="00460839"/>
    <w:rsid w:val="00461210"/>
    <w:rsid w:val="00462490"/>
    <w:rsid w:val="00462A0A"/>
    <w:rsid w:val="00463F47"/>
    <w:rsid w:val="00464DB6"/>
    <w:rsid w:val="00465299"/>
    <w:rsid w:val="00466A0F"/>
    <w:rsid w:val="0046795B"/>
    <w:rsid w:val="004708C0"/>
    <w:rsid w:val="004715CB"/>
    <w:rsid w:val="00471863"/>
    <w:rsid w:val="00472233"/>
    <w:rsid w:val="00473353"/>
    <w:rsid w:val="00473A14"/>
    <w:rsid w:val="00474CA8"/>
    <w:rsid w:val="00474E43"/>
    <w:rsid w:val="00475A4A"/>
    <w:rsid w:val="0048076D"/>
    <w:rsid w:val="00481A3B"/>
    <w:rsid w:val="00481C24"/>
    <w:rsid w:val="00481D90"/>
    <w:rsid w:val="00481E96"/>
    <w:rsid w:val="00482CD4"/>
    <w:rsid w:val="00483261"/>
    <w:rsid w:val="00484021"/>
    <w:rsid w:val="00485843"/>
    <w:rsid w:val="00485B23"/>
    <w:rsid w:val="0048630D"/>
    <w:rsid w:val="00486DAE"/>
    <w:rsid w:val="00486FF4"/>
    <w:rsid w:val="004874E4"/>
    <w:rsid w:val="0049070D"/>
    <w:rsid w:val="004914A9"/>
    <w:rsid w:val="00491BE4"/>
    <w:rsid w:val="00491DB2"/>
    <w:rsid w:val="00492877"/>
    <w:rsid w:val="0049639A"/>
    <w:rsid w:val="00496DC2"/>
    <w:rsid w:val="00496E75"/>
    <w:rsid w:val="004A014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5BAF"/>
    <w:rsid w:val="004A64F6"/>
    <w:rsid w:val="004A67F0"/>
    <w:rsid w:val="004A71C3"/>
    <w:rsid w:val="004A74D2"/>
    <w:rsid w:val="004A7769"/>
    <w:rsid w:val="004B23AD"/>
    <w:rsid w:val="004B24E5"/>
    <w:rsid w:val="004B2965"/>
    <w:rsid w:val="004B4224"/>
    <w:rsid w:val="004B4647"/>
    <w:rsid w:val="004B4DAD"/>
    <w:rsid w:val="004B5E52"/>
    <w:rsid w:val="004B7455"/>
    <w:rsid w:val="004B74FF"/>
    <w:rsid w:val="004B787C"/>
    <w:rsid w:val="004B7CE4"/>
    <w:rsid w:val="004C0401"/>
    <w:rsid w:val="004C0C49"/>
    <w:rsid w:val="004C183D"/>
    <w:rsid w:val="004C2669"/>
    <w:rsid w:val="004C396E"/>
    <w:rsid w:val="004C3AE2"/>
    <w:rsid w:val="004C3EC7"/>
    <w:rsid w:val="004C3EEE"/>
    <w:rsid w:val="004C483D"/>
    <w:rsid w:val="004C4EF9"/>
    <w:rsid w:val="004C6AB8"/>
    <w:rsid w:val="004C6C7D"/>
    <w:rsid w:val="004C795A"/>
    <w:rsid w:val="004C7F93"/>
    <w:rsid w:val="004D26B8"/>
    <w:rsid w:val="004D38C2"/>
    <w:rsid w:val="004D4FBD"/>
    <w:rsid w:val="004D4FC0"/>
    <w:rsid w:val="004D7DA8"/>
    <w:rsid w:val="004E2892"/>
    <w:rsid w:val="004E362B"/>
    <w:rsid w:val="004E3681"/>
    <w:rsid w:val="004E3D74"/>
    <w:rsid w:val="004E5AD0"/>
    <w:rsid w:val="004E708D"/>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07CB8"/>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4454"/>
    <w:rsid w:val="005256F3"/>
    <w:rsid w:val="00525C15"/>
    <w:rsid w:val="005265A3"/>
    <w:rsid w:val="00526783"/>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541"/>
    <w:rsid w:val="00540B5A"/>
    <w:rsid w:val="005420DE"/>
    <w:rsid w:val="00542249"/>
    <w:rsid w:val="005431F5"/>
    <w:rsid w:val="00543699"/>
    <w:rsid w:val="00543707"/>
    <w:rsid w:val="00543EBB"/>
    <w:rsid w:val="00544213"/>
    <w:rsid w:val="005453F3"/>
    <w:rsid w:val="00545549"/>
    <w:rsid w:val="00546312"/>
    <w:rsid w:val="005467DC"/>
    <w:rsid w:val="005469F5"/>
    <w:rsid w:val="00546A74"/>
    <w:rsid w:val="005518ED"/>
    <w:rsid w:val="00552093"/>
    <w:rsid w:val="00552309"/>
    <w:rsid w:val="00554E4B"/>
    <w:rsid w:val="0055531C"/>
    <w:rsid w:val="00555F67"/>
    <w:rsid w:val="00556605"/>
    <w:rsid w:val="00556CC5"/>
    <w:rsid w:val="005601AC"/>
    <w:rsid w:val="005601F5"/>
    <w:rsid w:val="005606A4"/>
    <w:rsid w:val="005607B8"/>
    <w:rsid w:val="00560CF5"/>
    <w:rsid w:val="00562330"/>
    <w:rsid w:val="0056272D"/>
    <w:rsid w:val="00562BAB"/>
    <w:rsid w:val="0056308E"/>
    <w:rsid w:val="005638C1"/>
    <w:rsid w:val="0056415C"/>
    <w:rsid w:val="005649BF"/>
    <w:rsid w:val="005650ED"/>
    <w:rsid w:val="00565869"/>
    <w:rsid w:val="005660F0"/>
    <w:rsid w:val="00567415"/>
    <w:rsid w:val="00567610"/>
    <w:rsid w:val="00570D9F"/>
    <w:rsid w:val="00571CA8"/>
    <w:rsid w:val="005734C0"/>
    <w:rsid w:val="00573E71"/>
    <w:rsid w:val="00574BA6"/>
    <w:rsid w:val="00580793"/>
    <w:rsid w:val="00581470"/>
    <w:rsid w:val="00581893"/>
    <w:rsid w:val="005819FC"/>
    <w:rsid w:val="00582087"/>
    <w:rsid w:val="005831DD"/>
    <w:rsid w:val="00584320"/>
    <w:rsid w:val="00585484"/>
    <w:rsid w:val="00587229"/>
    <w:rsid w:val="00587503"/>
    <w:rsid w:val="005877C3"/>
    <w:rsid w:val="00587F7F"/>
    <w:rsid w:val="005907D2"/>
    <w:rsid w:val="00590E8D"/>
    <w:rsid w:val="00591511"/>
    <w:rsid w:val="0059331A"/>
    <w:rsid w:val="00593970"/>
    <w:rsid w:val="005949E8"/>
    <w:rsid w:val="00596BBA"/>
    <w:rsid w:val="005972F8"/>
    <w:rsid w:val="005975C4"/>
    <w:rsid w:val="00597ED8"/>
    <w:rsid w:val="005A2D6D"/>
    <w:rsid w:val="005A34D5"/>
    <w:rsid w:val="005A4904"/>
    <w:rsid w:val="005A4959"/>
    <w:rsid w:val="005A515A"/>
    <w:rsid w:val="005A6120"/>
    <w:rsid w:val="005A6BC4"/>
    <w:rsid w:val="005A704D"/>
    <w:rsid w:val="005B1FF6"/>
    <w:rsid w:val="005B303B"/>
    <w:rsid w:val="005B3C6D"/>
    <w:rsid w:val="005B4045"/>
    <w:rsid w:val="005B49A7"/>
    <w:rsid w:val="005B4AEC"/>
    <w:rsid w:val="005B609E"/>
    <w:rsid w:val="005B6DF6"/>
    <w:rsid w:val="005B6EA6"/>
    <w:rsid w:val="005B780E"/>
    <w:rsid w:val="005B7B7D"/>
    <w:rsid w:val="005C1948"/>
    <w:rsid w:val="005C19A5"/>
    <w:rsid w:val="005C263C"/>
    <w:rsid w:val="005C2679"/>
    <w:rsid w:val="005C41D4"/>
    <w:rsid w:val="005C6206"/>
    <w:rsid w:val="005C6FAD"/>
    <w:rsid w:val="005D0079"/>
    <w:rsid w:val="005D059A"/>
    <w:rsid w:val="005D07AE"/>
    <w:rsid w:val="005D07C5"/>
    <w:rsid w:val="005D1478"/>
    <w:rsid w:val="005D1FF8"/>
    <w:rsid w:val="005D4213"/>
    <w:rsid w:val="005D4302"/>
    <w:rsid w:val="005D5A20"/>
    <w:rsid w:val="005D612D"/>
    <w:rsid w:val="005D6F3E"/>
    <w:rsid w:val="005D786C"/>
    <w:rsid w:val="005E00E5"/>
    <w:rsid w:val="005E049F"/>
    <w:rsid w:val="005E1588"/>
    <w:rsid w:val="005E3073"/>
    <w:rsid w:val="005E316A"/>
    <w:rsid w:val="005E5E1A"/>
    <w:rsid w:val="005E6C16"/>
    <w:rsid w:val="005E7117"/>
    <w:rsid w:val="005E746D"/>
    <w:rsid w:val="005F0108"/>
    <w:rsid w:val="005F0ECC"/>
    <w:rsid w:val="005F21A5"/>
    <w:rsid w:val="005F2470"/>
    <w:rsid w:val="005F28C6"/>
    <w:rsid w:val="005F3F16"/>
    <w:rsid w:val="005F5241"/>
    <w:rsid w:val="005F52CC"/>
    <w:rsid w:val="005F5E6F"/>
    <w:rsid w:val="005F6BD4"/>
    <w:rsid w:val="005F77B0"/>
    <w:rsid w:val="005F7985"/>
    <w:rsid w:val="0060004D"/>
    <w:rsid w:val="00600CEB"/>
    <w:rsid w:val="006027CA"/>
    <w:rsid w:val="00602A84"/>
    <w:rsid w:val="00602AA1"/>
    <w:rsid w:val="00602B30"/>
    <w:rsid w:val="00603131"/>
    <w:rsid w:val="00604367"/>
    <w:rsid w:val="006044BE"/>
    <w:rsid w:val="0060475F"/>
    <w:rsid w:val="006060C2"/>
    <w:rsid w:val="00606A26"/>
    <w:rsid w:val="00606AC6"/>
    <w:rsid w:val="00606CC0"/>
    <w:rsid w:val="00607D81"/>
    <w:rsid w:val="00610747"/>
    <w:rsid w:val="00610E03"/>
    <w:rsid w:val="00610EC7"/>
    <w:rsid w:val="0061176E"/>
    <w:rsid w:val="00612A14"/>
    <w:rsid w:val="0061417F"/>
    <w:rsid w:val="00614CD1"/>
    <w:rsid w:val="0061567B"/>
    <w:rsid w:val="00616921"/>
    <w:rsid w:val="0062152A"/>
    <w:rsid w:val="00621893"/>
    <w:rsid w:val="00623583"/>
    <w:rsid w:val="0062462F"/>
    <w:rsid w:val="00624BA1"/>
    <w:rsid w:val="006257E9"/>
    <w:rsid w:val="0062661B"/>
    <w:rsid w:val="00626D80"/>
    <w:rsid w:val="00627717"/>
    <w:rsid w:val="00630118"/>
    <w:rsid w:val="006310AE"/>
    <w:rsid w:val="00631762"/>
    <w:rsid w:val="00632196"/>
    <w:rsid w:val="00632FD1"/>
    <w:rsid w:val="00633BF2"/>
    <w:rsid w:val="00633F67"/>
    <w:rsid w:val="006345C3"/>
    <w:rsid w:val="006362F9"/>
    <w:rsid w:val="006369A9"/>
    <w:rsid w:val="006373CD"/>
    <w:rsid w:val="0063747D"/>
    <w:rsid w:val="0064165D"/>
    <w:rsid w:val="00642913"/>
    <w:rsid w:val="006433BD"/>
    <w:rsid w:val="00643784"/>
    <w:rsid w:val="00644186"/>
    <w:rsid w:val="00644A21"/>
    <w:rsid w:val="006452EE"/>
    <w:rsid w:val="00645C9F"/>
    <w:rsid w:val="00646305"/>
    <w:rsid w:val="006463D6"/>
    <w:rsid w:val="00646A6C"/>
    <w:rsid w:val="00646F20"/>
    <w:rsid w:val="006475E6"/>
    <w:rsid w:val="006508B9"/>
    <w:rsid w:val="00650CA1"/>
    <w:rsid w:val="0065150E"/>
    <w:rsid w:val="00651854"/>
    <w:rsid w:val="006539E8"/>
    <w:rsid w:val="006561A2"/>
    <w:rsid w:val="006563F3"/>
    <w:rsid w:val="006565D8"/>
    <w:rsid w:val="00656B96"/>
    <w:rsid w:val="00656CF4"/>
    <w:rsid w:val="0065736B"/>
    <w:rsid w:val="00657AE5"/>
    <w:rsid w:val="006619B0"/>
    <w:rsid w:val="00661B9B"/>
    <w:rsid w:val="00662012"/>
    <w:rsid w:val="00662543"/>
    <w:rsid w:val="006626D0"/>
    <w:rsid w:val="00664E8C"/>
    <w:rsid w:val="006650D3"/>
    <w:rsid w:val="00665138"/>
    <w:rsid w:val="0066528A"/>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F46"/>
    <w:rsid w:val="00681FDC"/>
    <w:rsid w:val="0068251F"/>
    <w:rsid w:val="006829E8"/>
    <w:rsid w:val="00682A0C"/>
    <w:rsid w:val="00682B53"/>
    <w:rsid w:val="00682F27"/>
    <w:rsid w:val="0069011A"/>
    <w:rsid w:val="00690E2E"/>
    <w:rsid w:val="006915D7"/>
    <w:rsid w:val="00692814"/>
    <w:rsid w:val="0069320E"/>
    <w:rsid w:val="006932E7"/>
    <w:rsid w:val="00693347"/>
    <w:rsid w:val="0069334C"/>
    <w:rsid w:val="00696D63"/>
    <w:rsid w:val="0069729C"/>
    <w:rsid w:val="006A032F"/>
    <w:rsid w:val="006A41AE"/>
    <w:rsid w:val="006A4856"/>
    <w:rsid w:val="006A530D"/>
    <w:rsid w:val="006A564B"/>
    <w:rsid w:val="006A5CBF"/>
    <w:rsid w:val="006A7EE9"/>
    <w:rsid w:val="006B0386"/>
    <w:rsid w:val="006B08CF"/>
    <w:rsid w:val="006B0B90"/>
    <w:rsid w:val="006B1545"/>
    <w:rsid w:val="006B2DA7"/>
    <w:rsid w:val="006B2F4D"/>
    <w:rsid w:val="006B3682"/>
    <w:rsid w:val="006B48CB"/>
    <w:rsid w:val="006B4FE8"/>
    <w:rsid w:val="006B715C"/>
    <w:rsid w:val="006B7CE0"/>
    <w:rsid w:val="006C08C5"/>
    <w:rsid w:val="006C1445"/>
    <w:rsid w:val="006C2A59"/>
    <w:rsid w:val="006C3959"/>
    <w:rsid w:val="006C4FC1"/>
    <w:rsid w:val="006C51A5"/>
    <w:rsid w:val="006C529D"/>
    <w:rsid w:val="006C5670"/>
    <w:rsid w:val="006C58B2"/>
    <w:rsid w:val="006C65A1"/>
    <w:rsid w:val="006C7B01"/>
    <w:rsid w:val="006C7CC9"/>
    <w:rsid w:val="006C7CFC"/>
    <w:rsid w:val="006D0E6B"/>
    <w:rsid w:val="006D1073"/>
    <w:rsid w:val="006D2146"/>
    <w:rsid w:val="006D2D0B"/>
    <w:rsid w:val="006D632E"/>
    <w:rsid w:val="006D6444"/>
    <w:rsid w:val="006D668E"/>
    <w:rsid w:val="006E094A"/>
    <w:rsid w:val="006E12B1"/>
    <w:rsid w:val="006E13D1"/>
    <w:rsid w:val="006E1A08"/>
    <w:rsid w:val="006E26D3"/>
    <w:rsid w:val="006E283E"/>
    <w:rsid w:val="006E2A4B"/>
    <w:rsid w:val="006E4D0C"/>
    <w:rsid w:val="006E4D1B"/>
    <w:rsid w:val="006E5B78"/>
    <w:rsid w:val="006E6BA3"/>
    <w:rsid w:val="006F01EB"/>
    <w:rsid w:val="006F1116"/>
    <w:rsid w:val="006F3196"/>
    <w:rsid w:val="006F3C54"/>
    <w:rsid w:val="006F5E64"/>
    <w:rsid w:val="006F60DE"/>
    <w:rsid w:val="006F77FE"/>
    <w:rsid w:val="006F7914"/>
    <w:rsid w:val="006F7E46"/>
    <w:rsid w:val="00700AB4"/>
    <w:rsid w:val="00700FCA"/>
    <w:rsid w:val="007012A7"/>
    <w:rsid w:val="00701645"/>
    <w:rsid w:val="007022F2"/>
    <w:rsid w:val="00702C80"/>
    <w:rsid w:val="00702D5A"/>
    <w:rsid w:val="00702EF7"/>
    <w:rsid w:val="00703989"/>
    <w:rsid w:val="007042E9"/>
    <w:rsid w:val="0070687A"/>
    <w:rsid w:val="00710393"/>
    <w:rsid w:val="0071118B"/>
    <w:rsid w:val="00711E13"/>
    <w:rsid w:val="00712EDA"/>
    <w:rsid w:val="007136D0"/>
    <w:rsid w:val="007155A9"/>
    <w:rsid w:val="007158E1"/>
    <w:rsid w:val="0071705B"/>
    <w:rsid w:val="00720505"/>
    <w:rsid w:val="007236A3"/>
    <w:rsid w:val="007239B6"/>
    <w:rsid w:val="0072490A"/>
    <w:rsid w:val="0072517D"/>
    <w:rsid w:val="0072558B"/>
    <w:rsid w:val="00726878"/>
    <w:rsid w:val="00730A68"/>
    <w:rsid w:val="0073124A"/>
    <w:rsid w:val="00731B79"/>
    <w:rsid w:val="00731EFA"/>
    <w:rsid w:val="007331CE"/>
    <w:rsid w:val="00733893"/>
    <w:rsid w:val="00734A05"/>
    <w:rsid w:val="00735C6F"/>
    <w:rsid w:val="007408D5"/>
    <w:rsid w:val="00742B44"/>
    <w:rsid w:val="007440FE"/>
    <w:rsid w:val="0074655A"/>
    <w:rsid w:val="007469B7"/>
    <w:rsid w:val="00746C78"/>
    <w:rsid w:val="00751B94"/>
    <w:rsid w:val="00753BB5"/>
    <w:rsid w:val="00756832"/>
    <w:rsid w:val="007568FC"/>
    <w:rsid w:val="007626D0"/>
    <w:rsid w:val="007651CA"/>
    <w:rsid w:val="00767269"/>
    <w:rsid w:val="00767519"/>
    <w:rsid w:val="00767EE3"/>
    <w:rsid w:val="007704E1"/>
    <w:rsid w:val="00772569"/>
    <w:rsid w:val="00772E8C"/>
    <w:rsid w:val="007736D3"/>
    <w:rsid w:val="00773B54"/>
    <w:rsid w:val="0077500F"/>
    <w:rsid w:val="0077548E"/>
    <w:rsid w:val="00777315"/>
    <w:rsid w:val="00777387"/>
    <w:rsid w:val="007802CC"/>
    <w:rsid w:val="007802E4"/>
    <w:rsid w:val="00780919"/>
    <w:rsid w:val="007825F0"/>
    <w:rsid w:val="007826C8"/>
    <w:rsid w:val="00782972"/>
    <w:rsid w:val="00783ACA"/>
    <w:rsid w:val="00784190"/>
    <w:rsid w:val="0078457B"/>
    <w:rsid w:val="00784756"/>
    <w:rsid w:val="0078539D"/>
    <w:rsid w:val="007856C1"/>
    <w:rsid w:val="00786ED1"/>
    <w:rsid w:val="00787051"/>
    <w:rsid w:val="0079018D"/>
    <w:rsid w:val="00791A00"/>
    <w:rsid w:val="00791DBA"/>
    <w:rsid w:val="00791DC7"/>
    <w:rsid w:val="00792CEE"/>
    <w:rsid w:val="00794E92"/>
    <w:rsid w:val="0079656A"/>
    <w:rsid w:val="00796D86"/>
    <w:rsid w:val="00796F15"/>
    <w:rsid w:val="007A138F"/>
    <w:rsid w:val="007A1640"/>
    <w:rsid w:val="007A3723"/>
    <w:rsid w:val="007A39DF"/>
    <w:rsid w:val="007A3A7F"/>
    <w:rsid w:val="007A43ED"/>
    <w:rsid w:val="007A4920"/>
    <w:rsid w:val="007A4997"/>
    <w:rsid w:val="007A4BDD"/>
    <w:rsid w:val="007A6881"/>
    <w:rsid w:val="007A72EE"/>
    <w:rsid w:val="007B0397"/>
    <w:rsid w:val="007B3502"/>
    <w:rsid w:val="007B44ED"/>
    <w:rsid w:val="007B491A"/>
    <w:rsid w:val="007B5370"/>
    <w:rsid w:val="007B6123"/>
    <w:rsid w:val="007B61F5"/>
    <w:rsid w:val="007B63FA"/>
    <w:rsid w:val="007B6E1B"/>
    <w:rsid w:val="007B7496"/>
    <w:rsid w:val="007B7AF5"/>
    <w:rsid w:val="007B7D52"/>
    <w:rsid w:val="007C0802"/>
    <w:rsid w:val="007C12BE"/>
    <w:rsid w:val="007C2739"/>
    <w:rsid w:val="007C4B0F"/>
    <w:rsid w:val="007C4DAD"/>
    <w:rsid w:val="007C501D"/>
    <w:rsid w:val="007C5830"/>
    <w:rsid w:val="007C5DB8"/>
    <w:rsid w:val="007C6CA2"/>
    <w:rsid w:val="007D05B2"/>
    <w:rsid w:val="007D0C44"/>
    <w:rsid w:val="007D1972"/>
    <w:rsid w:val="007D1F33"/>
    <w:rsid w:val="007D1F44"/>
    <w:rsid w:val="007D2146"/>
    <w:rsid w:val="007D24BF"/>
    <w:rsid w:val="007D2BBA"/>
    <w:rsid w:val="007D3307"/>
    <w:rsid w:val="007D432A"/>
    <w:rsid w:val="007D5884"/>
    <w:rsid w:val="007D5A88"/>
    <w:rsid w:val="007D5E27"/>
    <w:rsid w:val="007D6F64"/>
    <w:rsid w:val="007D752A"/>
    <w:rsid w:val="007E12FD"/>
    <w:rsid w:val="007E25AB"/>
    <w:rsid w:val="007E2C70"/>
    <w:rsid w:val="007E45BC"/>
    <w:rsid w:val="007E5AC2"/>
    <w:rsid w:val="007E69FB"/>
    <w:rsid w:val="007E79C5"/>
    <w:rsid w:val="007F0036"/>
    <w:rsid w:val="007F143A"/>
    <w:rsid w:val="007F2845"/>
    <w:rsid w:val="007F43BC"/>
    <w:rsid w:val="007F43C1"/>
    <w:rsid w:val="007F4740"/>
    <w:rsid w:val="007F5CEB"/>
    <w:rsid w:val="007F6202"/>
    <w:rsid w:val="007F6DF2"/>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16BA8"/>
    <w:rsid w:val="008202CD"/>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2918"/>
    <w:rsid w:val="00833065"/>
    <w:rsid w:val="0083350F"/>
    <w:rsid w:val="00834358"/>
    <w:rsid w:val="008346BD"/>
    <w:rsid w:val="008355F3"/>
    <w:rsid w:val="00836B7A"/>
    <w:rsid w:val="008409AA"/>
    <w:rsid w:val="00840FB8"/>
    <w:rsid w:val="0084353E"/>
    <w:rsid w:val="00843A7A"/>
    <w:rsid w:val="008447F5"/>
    <w:rsid w:val="00846292"/>
    <w:rsid w:val="00850413"/>
    <w:rsid w:val="008506E1"/>
    <w:rsid w:val="008515EE"/>
    <w:rsid w:val="008528D3"/>
    <w:rsid w:val="008543BB"/>
    <w:rsid w:val="00854553"/>
    <w:rsid w:val="00855B86"/>
    <w:rsid w:val="008565F1"/>
    <w:rsid w:val="0086042D"/>
    <w:rsid w:val="00860874"/>
    <w:rsid w:val="008617D0"/>
    <w:rsid w:val="00862008"/>
    <w:rsid w:val="00862720"/>
    <w:rsid w:val="008628C8"/>
    <w:rsid w:val="00862B2A"/>
    <w:rsid w:val="008630B9"/>
    <w:rsid w:val="00863F37"/>
    <w:rsid w:val="0086406B"/>
    <w:rsid w:val="00864C8C"/>
    <w:rsid w:val="00867651"/>
    <w:rsid w:val="008704A9"/>
    <w:rsid w:val="00870D04"/>
    <w:rsid w:val="0087121B"/>
    <w:rsid w:val="008714B6"/>
    <w:rsid w:val="0087238A"/>
    <w:rsid w:val="008743F3"/>
    <w:rsid w:val="0087444A"/>
    <w:rsid w:val="00875139"/>
    <w:rsid w:val="00875410"/>
    <w:rsid w:val="008808BE"/>
    <w:rsid w:val="00880EDF"/>
    <w:rsid w:val="00881D4F"/>
    <w:rsid w:val="00881F9E"/>
    <w:rsid w:val="00882273"/>
    <w:rsid w:val="008826CD"/>
    <w:rsid w:val="00882DE6"/>
    <w:rsid w:val="00883D4D"/>
    <w:rsid w:val="00884009"/>
    <w:rsid w:val="00884B59"/>
    <w:rsid w:val="008850BA"/>
    <w:rsid w:val="0088583D"/>
    <w:rsid w:val="00885876"/>
    <w:rsid w:val="00886185"/>
    <w:rsid w:val="008861D9"/>
    <w:rsid w:val="0088638C"/>
    <w:rsid w:val="00886EDF"/>
    <w:rsid w:val="008877E0"/>
    <w:rsid w:val="008908E5"/>
    <w:rsid w:val="00891216"/>
    <w:rsid w:val="00894FDC"/>
    <w:rsid w:val="008A16F9"/>
    <w:rsid w:val="008A1D3E"/>
    <w:rsid w:val="008A378A"/>
    <w:rsid w:val="008A4B16"/>
    <w:rsid w:val="008A4D63"/>
    <w:rsid w:val="008A6D62"/>
    <w:rsid w:val="008B13E9"/>
    <w:rsid w:val="008B360E"/>
    <w:rsid w:val="008B3B51"/>
    <w:rsid w:val="008B4057"/>
    <w:rsid w:val="008B4145"/>
    <w:rsid w:val="008B4CAC"/>
    <w:rsid w:val="008B5290"/>
    <w:rsid w:val="008C2CFD"/>
    <w:rsid w:val="008C57D6"/>
    <w:rsid w:val="008C603A"/>
    <w:rsid w:val="008C71C8"/>
    <w:rsid w:val="008C7A67"/>
    <w:rsid w:val="008D167D"/>
    <w:rsid w:val="008D261F"/>
    <w:rsid w:val="008D492A"/>
    <w:rsid w:val="008D4B58"/>
    <w:rsid w:val="008D4B8A"/>
    <w:rsid w:val="008D4D01"/>
    <w:rsid w:val="008D6541"/>
    <w:rsid w:val="008D7D7B"/>
    <w:rsid w:val="008E0F52"/>
    <w:rsid w:val="008E2316"/>
    <w:rsid w:val="008E34BE"/>
    <w:rsid w:val="008E42F4"/>
    <w:rsid w:val="008E5307"/>
    <w:rsid w:val="008E5657"/>
    <w:rsid w:val="008E5E51"/>
    <w:rsid w:val="008E6220"/>
    <w:rsid w:val="008E721F"/>
    <w:rsid w:val="008E7D63"/>
    <w:rsid w:val="008F00DB"/>
    <w:rsid w:val="008F110E"/>
    <w:rsid w:val="008F1264"/>
    <w:rsid w:val="008F47C6"/>
    <w:rsid w:val="008F4CF7"/>
    <w:rsid w:val="008F4EDF"/>
    <w:rsid w:val="008F5948"/>
    <w:rsid w:val="008F7E83"/>
    <w:rsid w:val="00900093"/>
    <w:rsid w:val="009006A2"/>
    <w:rsid w:val="0090102B"/>
    <w:rsid w:val="00901448"/>
    <w:rsid w:val="00901AD6"/>
    <w:rsid w:val="009026AD"/>
    <w:rsid w:val="009036BC"/>
    <w:rsid w:val="00903AFB"/>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8BD"/>
    <w:rsid w:val="009213BD"/>
    <w:rsid w:val="00922DC3"/>
    <w:rsid w:val="00923AFA"/>
    <w:rsid w:val="00924627"/>
    <w:rsid w:val="009250A8"/>
    <w:rsid w:val="009255BA"/>
    <w:rsid w:val="00925BE6"/>
    <w:rsid w:val="0092658D"/>
    <w:rsid w:val="00926F61"/>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598"/>
    <w:rsid w:val="00985EF7"/>
    <w:rsid w:val="00986396"/>
    <w:rsid w:val="00986CF9"/>
    <w:rsid w:val="00987416"/>
    <w:rsid w:val="009907E2"/>
    <w:rsid w:val="00990894"/>
    <w:rsid w:val="00990C0E"/>
    <w:rsid w:val="00990D75"/>
    <w:rsid w:val="00991093"/>
    <w:rsid w:val="0099163B"/>
    <w:rsid w:val="00992343"/>
    <w:rsid w:val="00992958"/>
    <w:rsid w:val="00996303"/>
    <w:rsid w:val="00996306"/>
    <w:rsid w:val="00996744"/>
    <w:rsid w:val="009967DA"/>
    <w:rsid w:val="0099705B"/>
    <w:rsid w:val="00997CF4"/>
    <w:rsid w:val="009A1169"/>
    <w:rsid w:val="009A1AAC"/>
    <w:rsid w:val="009A3789"/>
    <w:rsid w:val="009A4860"/>
    <w:rsid w:val="009A54F4"/>
    <w:rsid w:val="009A6919"/>
    <w:rsid w:val="009A6AC7"/>
    <w:rsid w:val="009A6CC2"/>
    <w:rsid w:val="009A7831"/>
    <w:rsid w:val="009B0408"/>
    <w:rsid w:val="009B0843"/>
    <w:rsid w:val="009B1E47"/>
    <w:rsid w:val="009B20D0"/>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53F"/>
    <w:rsid w:val="009C599A"/>
    <w:rsid w:val="009C650E"/>
    <w:rsid w:val="009C70DB"/>
    <w:rsid w:val="009D0E75"/>
    <w:rsid w:val="009D19BC"/>
    <w:rsid w:val="009D2348"/>
    <w:rsid w:val="009D2F0C"/>
    <w:rsid w:val="009D3578"/>
    <w:rsid w:val="009D3A5F"/>
    <w:rsid w:val="009D3EF3"/>
    <w:rsid w:val="009D5193"/>
    <w:rsid w:val="009D5C32"/>
    <w:rsid w:val="009D6472"/>
    <w:rsid w:val="009D79F4"/>
    <w:rsid w:val="009E2B4C"/>
    <w:rsid w:val="009E308C"/>
    <w:rsid w:val="009E3CD1"/>
    <w:rsid w:val="009E4AB3"/>
    <w:rsid w:val="009E5AF5"/>
    <w:rsid w:val="009E5EB5"/>
    <w:rsid w:val="009E74F0"/>
    <w:rsid w:val="009F0768"/>
    <w:rsid w:val="009F7867"/>
    <w:rsid w:val="009F7D66"/>
    <w:rsid w:val="00A00BD2"/>
    <w:rsid w:val="00A00E56"/>
    <w:rsid w:val="00A01C99"/>
    <w:rsid w:val="00A02710"/>
    <w:rsid w:val="00A027F3"/>
    <w:rsid w:val="00A02FAD"/>
    <w:rsid w:val="00A03978"/>
    <w:rsid w:val="00A05DF3"/>
    <w:rsid w:val="00A05F1A"/>
    <w:rsid w:val="00A0670C"/>
    <w:rsid w:val="00A0689F"/>
    <w:rsid w:val="00A07759"/>
    <w:rsid w:val="00A07E08"/>
    <w:rsid w:val="00A12798"/>
    <w:rsid w:val="00A153BE"/>
    <w:rsid w:val="00A15DEE"/>
    <w:rsid w:val="00A15EB2"/>
    <w:rsid w:val="00A167B5"/>
    <w:rsid w:val="00A168A6"/>
    <w:rsid w:val="00A16DBE"/>
    <w:rsid w:val="00A17159"/>
    <w:rsid w:val="00A17C4F"/>
    <w:rsid w:val="00A20653"/>
    <w:rsid w:val="00A20A39"/>
    <w:rsid w:val="00A21013"/>
    <w:rsid w:val="00A2190A"/>
    <w:rsid w:val="00A22681"/>
    <w:rsid w:val="00A238BD"/>
    <w:rsid w:val="00A23DA4"/>
    <w:rsid w:val="00A243E4"/>
    <w:rsid w:val="00A2459D"/>
    <w:rsid w:val="00A24E23"/>
    <w:rsid w:val="00A25F05"/>
    <w:rsid w:val="00A264BE"/>
    <w:rsid w:val="00A311AE"/>
    <w:rsid w:val="00A312A6"/>
    <w:rsid w:val="00A3130E"/>
    <w:rsid w:val="00A324CF"/>
    <w:rsid w:val="00A32E8B"/>
    <w:rsid w:val="00A32ED6"/>
    <w:rsid w:val="00A344A5"/>
    <w:rsid w:val="00A346C3"/>
    <w:rsid w:val="00A34ACA"/>
    <w:rsid w:val="00A42D07"/>
    <w:rsid w:val="00A450C0"/>
    <w:rsid w:val="00A45468"/>
    <w:rsid w:val="00A455F8"/>
    <w:rsid w:val="00A4791B"/>
    <w:rsid w:val="00A50A48"/>
    <w:rsid w:val="00A51242"/>
    <w:rsid w:val="00A51312"/>
    <w:rsid w:val="00A51522"/>
    <w:rsid w:val="00A51573"/>
    <w:rsid w:val="00A51A5E"/>
    <w:rsid w:val="00A52895"/>
    <w:rsid w:val="00A53DA0"/>
    <w:rsid w:val="00A55350"/>
    <w:rsid w:val="00A5765D"/>
    <w:rsid w:val="00A607CB"/>
    <w:rsid w:val="00A6351F"/>
    <w:rsid w:val="00A65A70"/>
    <w:rsid w:val="00A66F36"/>
    <w:rsid w:val="00A676D9"/>
    <w:rsid w:val="00A67EFC"/>
    <w:rsid w:val="00A7031E"/>
    <w:rsid w:val="00A71140"/>
    <w:rsid w:val="00A71DC7"/>
    <w:rsid w:val="00A72B7B"/>
    <w:rsid w:val="00A7354E"/>
    <w:rsid w:val="00A73790"/>
    <w:rsid w:val="00A73917"/>
    <w:rsid w:val="00A73C9A"/>
    <w:rsid w:val="00A74692"/>
    <w:rsid w:val="00A75726"/>
    <w:rsid w:val="00A7618B"/>
    <w:rsid w:val="00A7640B"/>
    <w:rsid w:val="00A7778B"/>
    <w:rsid w:val="00A803BC"/>
    <w:rsid w:val="00A80969"/>
    <w:rsid w:val="00A84805"/>
    <w:rsid w:val="00A858C5"/>
    <w:rsid w:val="00A86EA7"/>
    <w:rsid w:val="00A91244"/>
    <w:rsid w:val="00A91778"/>
    <w:rsid w:val="00A91AA1"/>
    <w:rsid w:val="00A92776"/>
    <w:rsid w:val="00A93181"/>
    <w:rsid w:val="00A938E6"/>
    <w:rsid w:val="00A93CCF"/>
    <w:rsid w:val="00A95BD5"/>
    <w:rsid w:val="00A96F78"/>
    <w:rsid w:val="00AA1087"/>
    <w:rsid w:val="00AA25A9"/>
    <w:rsid w:val="00AA26D9"/>
    <w:rsid w:val="00AA3DEA"/>
    <w:rsid w:val="00AA4759"/>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276B"/>
    <w:rsid w:val="00AC429F"/>
    <w:rsid w:val="00AC5BC3"/>
    <w:rsid w:val="00AC60B4"/>
    <w:rsid w:val="00AD00C5"/>
    <w:rsid w:val="00AD165F"/>
    <w:rsid w:val="00AD2794"/>
    <w:rsid w:val="00AD2B9F"/>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458"/>
    <w:rsid w:val="00AF3F7B"/>
    <w:rsid w:val="00AF4145"/>
    <w:rsid w:val="00AF42B4"/>
    <w:rsid w:val="00AF4B8A"/>
    <w:rsid w:val="00AF4F1B"/>
    <w:rsid w:val="00AF5EC6"/>
    <w:rsid w:val="00AF66B6"/>
    <w:rsid w:val="00AF6E8A"/>
    <w:rsid w:val="00AF7213"/>
    <w:rsid w:val="00AF7D92"/>
    <w:rsid w:val="00B00C28"/>
    <w:rsid w:val="00B011CC"/>
    <w:rsid w:val="00B022D6"/>
    <w:rsid w:val="00B02A2D"/>
    <w:rsid w:val="00B03575"/>
    <w:rsid w:val="00B04048"/>
    <w:rsid w:val="00B04F3D"/>
    <w:rsid w:val="00B05702"/>
    <w:rsid w:val="00B05D28"/>
    <w:rsid w:val="00B06DD9"/>
    <w:rsid w:val="00B06F15"/>
    <w:rsid w:val="00B07CD6"/>
    <w:rsid w:val="00B07E52"/>
    <w:rsid w:val="00B10010"/>
    <w:rsid w:val="00B11775"/>
    <w:rsid w:val="00B12632"/>
    <w:rsid w:val="00B12660"/>
    <w:rsid w:val="00B12F5F"/>
    <w:rsid w:val="00B1302D"/>
    <w:rsid w:val="00B145F4"/>
    <w:rsid w:val="00B149A6"/>
    <w:rsid w:val="00B1513F"/>
    <w:rsid w:val="00B15B31"/>
    <w:rsid w:val="00B15B89"/>
    <w:rsid w:val="00B1691B"/>
    <w:rsid w:val="00B171F5"/>
    <w:rsid w:val="00B1746F"/>
    <w:rsid w:val="00B17EA8"/>
    <w:rsid w:val="00B20725"/>
    <w:rsid w:val="00B20B94"/>
    <w:rsid w:val="00B2506B"/>
    <w:rsid w:val="00B2628E"/>
    <w:rsid w:val="00B26611"/>
    <w:rsid w:val="00B266B0"/>
    <w:rsid w:val="00B27921"/>
    <w:rsid w:val="00B3000E"/>
    <w:rsid w:val="00B326A8"/>
    <w:rsid w:val="00B329EB"/>
    <w:rsid w:val="00B33508"/>
    <w:rsid w:val="00B3377E"/>
    <w:rsid w:val="00B35786"/>
    <w:rsid w:val="00B35DA4"/>
    <w:rsid w:val="00B37425"/>
    <w:rsid w:val="00B40A96"/>
    <w:rsid w:val="00B4184B"/>
    <w:rsid w:val="00B422A7"/>
    <w:rsid w:val="00B42A32"/>
    <w:rsid w:val="00B42FA6"/>
    <w:rsid w:val="00B431AE"/>
    <w:rsid w:val="00B4399E"/>
    <w:rsid w:val="00B43A16"/>
    <w:rsid w:val="00B44666"/>
    <w:rsid w:val="00B45C10"/>
    <w:rsid w:val="00B45CE1"/>
    <w:rsid w:val="00B46A75"/>
    <w:rsid w:val="00B500CD"/>
    <w:rsid w:val="00B51BB0"/>
    <w:rsid w:val="00B5239C"/>
    <w:rsid w:val="00B52C39"/>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223"/>
    <w:rsid w:val="00B67805"/>
    <w:rsid w:val="00B67939"/>
    <w:rsid w:val="00B70A76"/>
    <w:rsid w:val="00B721CD"/>
    <w:rsid w:val="00B7267A"/>
    <w:rsid w:val="00B726FF"/>
    <w:rsid w:val="00B7291A"/>
    <w:rsid w:val="00B72A91"/>
    <w:rsid w:val="00B72AA4"/>
    <w:rsid w:val="00B75454"/>
    <w:rsid w:val="00B75603"/>
    <w:rsid w:val="00B76BCD"/>
    <w:rsid w:val="00B76EE9"/>
    <w:rsid w:val="00B77880"/>
    <w:rsid w:val="00B80D90"/>
    <w:rsid w:val="00B80E77"/>
    <w:rsid w:val="00B82613"/>
    <w:rsid w:val="00B828B5"/>
    <w:rsid w:val="00B84E9C"/>
    <w:rsid w:val="00B85522"/>
    <w:rsid w:val="00B8593C"/>
    <w:rsid w:val="00B869DF"/>
    <w:rsid w:val="00B90E2A"/>
    <w:rsid w:val="00B90F2A"/>
    <w:rsid w:val="00B9198D"/>
    <w:rsid w:val="00B926CB"/>
    <w:rsid w:val="00B93008"/>
    <w:rsid w:val="00B94025"/>
    <w:rsid w:val="00B9406D"/>
    <w:rsid w:val="00B94BA7"/>
    <w:rsid w:val="00B94BE9"/>
    <w:rsid w:val="00B94E0E"/>
    <w:rsid w:val="00B97CA3"/>
    <w:rsid w:val="00BA2B80"/>
    <w:rsid w:val="00BA3D7B"/>
    <w:rsid w:val="00BA76A9"/>
    <w:rsid w:val="00BB3E2B"/>
    <w:rsid w:val="00BB3FBA"/>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E68"/>
    <w:rsid w:val="00BD504A"/>
    <w:rsid w:val="00BD598A"/>
    <w:rsid w:val="00BD5D21"/>
    <w:rsid w:val="00BD75B4"/>
    <w:rsid w:val="00BD7BFE"/>
    <w:rsid w:val="00BD7D14"/>
    <w:rsid w:val="00BE02B4"/>
    <w:rsid w:val="00BE0A4E"/>
    <w:rsid w:val="00BE1553"/>
    <w:rsid w:val="00BE19DC"/>
    <w:rsid w:val="00BE2010"/>
    <w:rsid w:val="00BE41EC"/>
    <w:rsid w:val="00BE4EC9"/>
    <w:rsid w:val="00BE56B1"/>
    <w:rsid w:val="00BE631E"/>
    <w:rsid w:val="00BE71F7"/>
    <w:rsid w:val="00BF0CCF"/>
    <w:rsid w:val="00BF0FC5"/>
    <w:rsid w:val="00BF10BC"/>
    <w:rsid w:val="00BF21AC"/>
    <w:rsid w:val="00BF2E53"/>
    <w:rsid w:val="00BF3133"/>
    <w:rsid w:val="00BF3669"/>
    <w:rsid w:val="00BF3C0D"/>
    <w:rsid w:val="00BF711C"/>
    <w:rsid w:val="00BF7C74"/>
    <w:rsid w:val="00C00412"/>
    <w:rsid w:val="00C00ED8"/>
    <w:rsid w:val="00C03309"/>
    <w:rsid w:val="00C03452"/>
    <w:rsid w:val="00C067D5"/>
    <w:rsid w:val="00C072FE"/>
    <w:rsid w:val="00C12E39"/>
    <w:rsid w:val="00C13DA5"/>
    <w:rsid w:val="00C14164"/>
    <w:rsid w:val="00C15D8E"/>
    <w:rsid w:val="00C17012"/>
    <w:rsid w:val="00C178FB"/>
    <w:rsid w:val="00C17FDC"/>
    <w:rsid w:val="00C204AA"/>
    <w:rsid w:val="00C22B28"/>
    <w:rsid w:val="00C22B5A"/>
    <w:rsid w:val="00C23E6D"/>
    <w:rsid w:val="00C247BF"/>
    <w:rsid w:val="00C257B7"/>
    <w:rsid w:val="00C27265"/>
    <w:rsid w:val="00C272E8"/>
    <w:rsid w:val="00C311EC"/>
    <w:rsid w:val="00C33359"/>
    <w:rsid w:val="00C348D6"/>
    <w:rsid w:val="00C365E7"/>
    <w:rsid w:val="00C36E34"/>
    <w:rsid w:val="00C37806"/>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B71"/>
    <w:rsid w:val="00C520B1"/>
    <w:rsid w:val="00C522D6"/>
    <w:rsid w:val="00C5306D"/>
    <w:rsid w:val="00C54010"/>
    <w:rsid w:val="00C54020"/>
    <w:rsid w:val="00C5406F"/>
    <w:rsid w:val="00C545C5"/>
    <w:rsid w:val="00C55566"/>
    <w:rsid w:val="00C55B1D"/>
    <w:rsid w:val="00C568FE"/>
    <w:rsid w:val="00C573E9"/>
    <w:rsid w:val="00C5749F"/>
    <w:rsid w:val="00C6038F"/>
    <w:rsid w:val="00C61498"/>
    <w:rsid w:val="00C61D4B"/>
    <w:rsid w:val="00C6225E"/>
    <w:rsid w:val="00C62B0A"/>
    <w:rsid w:val="00C63F08"/>
    <w:rsid w:val="00C6528C"/>
    <w:rsid w:val="00C661E8"/>
    <w:rsid w:val="00C663A8"/>
    <w:rsid w:val="00C6648F"/>
    <w:rsid w:val="00C66C26"/>
    <w:rsid w:val="00C66D27"/>
    <w:rsid w:val="00C66E69"/>
    <w:rsid w:val="00C67BC7"/>
    <w:rsid w:val="00C70084"/>
    <w:rsid w:val="00C71499"/>
    <w:rsid w:val="00C7235B"/>
    <w:rsid w:val="00C725B1"/>
    <w:rsid w:val="00C72E18"/>
    <w:rsid w:val="00C731AD"/>
    <w:rsid w:val="00C73379"/>
    <w:rsid w:val="00C7380B"/>
    <w:rsid w:val="00C74421"/>
    <w:rsid w:val="00C7542D"/>
    <w:rsid w:val="00C75F2F"/>
    <w:rsid w:val="00C75FEE"/>
    <w:rsid w:val="00C76F1D"/>
    <w:rsid w:val="00C77D26"/>
    <w:rsid w:val="00C80BDF"/>
    <w:rsid w:val="00C8372C"/>
    <w:rsid w:val="00C84D39"/>
    <w:rsid w:val="00C85277"/>
    <w:rsid w:val="00C85556"/>
    <w:rsid w:val="00C85D76"/>
    <w:rsid w:val="00C864D4"/>
    <w:rsid w:val="00C873AC"/>
    <w:rsid w:val="00C87B19"/>
    <w:rsid w:val="00C92490"/>
    <w:rsid w:val="00C93462"/>
    <w:rsid w:val="00C94384"/>
    <w:rsid w:val="00C94A30"/>
    <w:rsid w:val="00C94A34"/>
    <w:rsid w:val="00C94C2B"/>
    <w:rsid w:val="00C96F79"/>
    <w:rsid w:val="00C97CF9"/>
    <w:rsid w:val="00CA0642"/>
    <w:rsid w:val="00CA17DD"/>
    <w:rsid w:val="00CA1863"/>
    <w:rsid w:val="00CA192A"/>
    <w:rsid w:val="00CA26CE"/>
    <w:rsid w:val="00CA391D"/>
    <w:rsid w:val="00CA3ACD"/>
    <w:rsid w:val="00CA4F8B"/>
    <w:rsid w:val="00CA64D5"/>
    <w:rsid w:val="00CB09DA"/>
    <w:rsid w:val="00CB0BD9"/>
    <w:rsid w:val="00CB1B90"/>
    <w:rsid w:val="00CB1CAC"/>
    <w:rsid w:val="00CB1D87"/>
    <w:rsid w:val="00CB1DE8"/>
    <w:rsid w:val="00CB1E3B"/>
    <w:rsid w:val="00CB1F1D"/>
    <w:rsid w:val="00CB3C8E"/>
    <w:rsid w:val="00CB4212"/>
    <w:rsid w:val="00CB45BC"/>
    <w:rsid w:val="00CB4C59"/>
    <w:rsid w:val="00CB600D"/>
    <w:rsid w:val="00CB71F8"/>
    <w:rsid w:val="00CC26DB"/>
    <w:rsid w:val="00CC300C"/>
    <w:rsid w:val="00CC35AE"/>
    <w:rsid w:val="00CC3837"/>
    <w:rsid w:val="00CC3DAA"/>
    <w:rsid w:val="00CC43B0"/>
    <w:rsid w:val="00CC49C7"/>
    <w:rsid w:val="00CC4B65"/>
    <w:rsid w:val="00CC4C2C"/>
    <w:rsid w:val="00CC5057"/>
    <w:rsid w:val="00CC587F"/>
    <w:rsid w:val="00CC79E9"/>
    <w:rsid w:val="00CD0126"/>
    <w:rsid w:val="00CD078F"/>
    <w:rsid w:val="00CD121E"/>
    <w:rsid w:val="00CD1922"/>
    <w:rsid w:val="00CD27A8"/>
    <w:rsid w:val="00CD28F0"/>
    <w:rsid w:val="00CD37DA"/>
    <w:rsid w:val="00CD3CBE"/>
    <w:rsid w:val="00CD3ED8"/>
    <w:rsid w:val="00CD6190"/>
    <w:rsid w:val="00CD736C"/>
    <w:rsid w:val="00CD761D"/>
    <w:rsid w:val="00CD76B5"/>
    <w:rsid w:val="00CE1757"/>
    <w:rsid w:val="00CE2346"/>
    <w:rsid w:val="00CE2B02"/>
    <w:rsid w:val="00CE3B50"/>
    <w:rsid w:val="00CE4F2D"/>
    <w:rsid w:val="00CE6F0F"/>
    <w:rsid w:val="00CE7C7C"/>
    <w:rsid w:val="00CF002F"/>
    <w:rsid w:val="00CF0246"/>
    <w:rsid w:val="00CF0C02"/>
    <w:rsid w:val="00CF10F2"/>
    <w:rsid w:val="00CF1899"/>
    <w:rsid w:val="00CF2483"/>
    <w:rsid w:val="00CF24E2"/>
    <w:rsid w:val="00CF321D"/>
    <w:rsid w:val="00CF393D"/>
    <w:rsid w:val="00CF4ABD"/>
    <w:rsid w:val="00CF4B18"/>
    <w:rsid w:val="00CF5A53"/>
    <w:rsid w:val="00CF5D28"/>
    <w:rsid w:val="00CF66E9"/>
    <w:rsid w:val="00CF6942"/>
    <w:rsid w:val="00CF6F1E"/>
    <w:rsid w:val="00D001F9"/>
    <w:rsid w:val="00D0036E"/>
    <w:rsid w:val="00D00BB7"/>
    <w:rsid w:val="00D01EAD"/>
    <w:rsid w:val="00D02C62"/>
    <w:rsid w:val="00D035B9"/>
    <w:rsid w:val="00D05C04"/>
    <w:rsid w:val="00D060FF"/>
    <w:rsid w:val="00D064E8"/>
    <w:rsid w:val="00D06572"/>
    <w:rsid w:val="00D065CD"/>
    <w:rsid w:val="00D07D93"/>
    <w:rsid w:val="00D11FA6"/>
    <w:rsid w:val="00D12325"/>
    <w:rsid w:val="00D14487"/>
    <w:rsid w:val="00D14DBB"/>
    <w:rsid w:val="00D15E7E"/>
    <w:rsid w:val="00D162EF"/>
    <w:rsid w:val="00D17D32"/>
    <w:rsid w:val="00D20016"/>
    <w:rsid w:val="00D207A7"/>
    <w:rsid w:val="00D20CD6"/>
    <w:rsid w:val="00D20E00"/>
    <w:rsid w:val="00D21005"/>
    <w:rsid w:val="00D21771"/>
    <w:rsid w:val="00D21DBE"/>
    <w:rsid w:val="00D2279F"/>
    <w:rsid w:val="00D22AF1"/>
    <w:rsid w:val="00D22E93"/>
    <w:rsid w:val="00D242DA"/>
    <w:rsid w:val="00D25BD5"/>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0EE4"/>
    <w:rsid w:val="00D41004"/>
    <w:rsid w:val="00D42240"/>
    <w:rsid w:val="00D427C3"/>
    <w:rsid w:val="00D42EB8"/>
    <w:rsid w:val="00D44932"/>
    <w:rsid w:val="00D44D66"/>
    <w:rsid w:val="00D45D77"/>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1D30"/>
    <w:rsid w:val="00D62ECD"/>
    <w:rsid w:val="00D6334B"/>
    <w:rsid w:val="00D64426"/>
    <w:rsid w:val="00D645A3"/>
    <w:rsid w:val="00D65D78"/>
    <w:rsid w:val="00D66727"/>
    <w:rsid w:val="00D67BC5"/>
    <w:rsid w:val="00D7021B"/>
    <w:rsid w:val="00D70D33"/>
    <w:rsid w:val="00D728AE"/>
    <w:rsid w:val="00D73077"/>
    <w:rsid w:val="00D736A2"/>
    <w:rsid w:val="00D73C57"/>
    <w:rsid w:val="00D742FF"/>
    <w:rsid w:val="00D74E86"/>
    <w:rsid w:val="00D758B3"/>
    <w:rsid w:val="00D76ADC"/>
    <w:rsid w:val="00D77413"/>
    <w:rsid w:val="00D7787C"/>
    <w:rsid w:val="00D80449"/>
    <w:rsid w:val="00D80978"/>
    <w:rsid w:val="00D81F10"/>
    <w:rsid w:val="00D8201E"/>
    <w:rsid w:val="00D822EC"/>
    <w:rsid w:val="00D8303C"/>
    <w:rsid w:val="00D836F7"/>
    <w:rsid w:val="00D84A57"/>
    <w:rsid w:val="00D84C3B"/>
    <w:rsid w:val="00D84DA7"/>
    <w:rsid w:val="00D864F8"/>
    <w:rsid w:val="00D874DF"/>
    <w:rsid w:val="00D87A12"/>
    <w:rsid w:val="00D930E1"/>
    <w:rsid w:val="00D9415C"/>
    <w:rsid w:val="00D942CC"/>
    <w:rsid w:val="00D94ADE"/>
    <w:rsid w:val="00D94D87"/>
    <w:rsid w:val="00D962DC"/>
    <w:rsid w:val="00D97BB5"/>
    <w:rsid w:val="00DA0C12"/>
    <w:rsid w:val="00DA117C"/>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136"/>
    <w:rsid w:val="00DB5636"/>
    <w:rsid w:val="00DB6A80"/>
    <w:rsid w:val="00DB6C06"/>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5E79"/>
    <w:rsid w:val="00DE737B"/>
    <w:rsid w:val="00DF0587"/>
    <w:rsid w:val="00DF100B"/>
    <w:rsid w:val="00DF23CA"/>
    <w:rsid w:val="00DF2929"/>
    <w:rsid w:val="00DF3B76"/>
    <w:rsid w:val="00DF4359"/>
    <w:rsid w:val="00DF4C1A"/>
    <w:rsid w:val="00DF7751"/>
    <w:rsid w:val="00E031BB"/>
    <w:rsid w:val="00E0424A"/>
    <w:rsid w:val="00E0520E"/>
    <w:rsid w:val="00E0576C"/>
    <w:rsid w:val="00E0626B"/>
    <w:rsid w:val="00E068BC"/>
    <w:rsid w:val="00E073F0"/>
    <w:rsid w:val="00E106C5"/>
    <w:rsid w:val="00E10761"/>
    <w:rsid w:val="00E108E4"/>
    <w:rsid w:val="00E10C9B"/>
    <w:rsid w:val="00E11D7A"/>
    <w:rsid w:val="00E11EEB"/>
    <w:rsid w:val="00E128F2"/>
    <w:rsid w:val="00E13883"/>
    <w:rsid w:val="00E13EE4"/>
    <w:rsid w:val="00E16463"/>
    <w:rsid w:val="00E20155"/>
    <w:rsid w:val="00E239D1"/>
    <w:rsid w:val="00E26727"/>
    <w:rsid w:val="00E26970"/>
    <w:rsid w:val="00E27791"/>
    <w:rsid w:val="00E30F2D"/>
    <w:rsid w:val="00E319DB"/>
    <w:rsid w:val="00E31AFC"/>
    <w:rsid w:val="00E331BF"/>
    <w:rsid w:val="00E3409E"/>
    <w:rsid w:val="00E344B7"/>
    <w:rsid w:val="00E34F76"/>
    <w:rsid w:val="00E37BE5"/>
    <w:rsid w:val="00E41A27"/>
    <w:rsid w:val="00E41E2F"/>
    <w:rsid w:val="00E42910"/>
    <w:rsid w:val="00E430C7"/>
    <w:rsid w:val="00E457DC"/>
    <w:rsid w:val="00E4608B"/>
    <w:rsid w:val="00E464EC"/>
    <w:rsid w:val="00E46FF0"/>
    <w:rsid w:val="00E501D3"/>
    <w:rsid w:val="00E53A01"/>
    <w:rsid w:val="00E553CE"/>
    <w:rsid w:val="00E564C4"/>
    <w:rsid w:val="00E567C9"/>
    <w:rsid w:val="00E57C30"/>
    <w:rsid w:val="00E604C4"/>
    <w:rsid w:val="00E60809"/>
    <w:rsid w:val="00E60ED3"/>
    <w:rsid w:val="00E611AE"/>
    <w:rsid w:val="00E61300"/>
    <w:rsid w:val="00E6135E"/>
    <w:rsid w:val="00E614F2"/>
    <w:rsid w:val="00E635B9"/>
    <w:rsid w:val="00E65D15"/>
    <w:rsid w:val="00E66C49"/>
    <w:rsid w:val="00E67EE5"/>
    <w:rsid w:val="00E7013A"/>
    <w:rsid w:val="00E71099"/>
    <w:rsid w:val="00E74104"/>
    <w:rsid w:val="00E7473C"/>
    <w:rsid w:val="00E74F5D"/>
    <w:rsid w:val="00E750D8"/>
    <w:rsid w:val="00E757A8"/>
    <w:rsid w:val="00E76034"/>
    <w:rsid w:val="00E80440"/>
    <w:rsid w:val="00E80515"/>
    <w:rsid w:val="00E817E0"/>
    <w:rsid w:val="00E819FB"/>
    <w:rsid w:val="00E827D2"/>
    <w:rsid w:val="00E82AE8"/>
    <w:rsid w:val="00E82EE4"/>
    <w:rsid w:val="00E831E7"/>
    <w:rsid w:val="00E843B5"/>
    <w:rsid w:val="00E84A3B"/>
    <w:rsid w:val="00E85307"/>
    <w:rsid w:val="00E907E4"/>
    <w:rsid w:val="00E90924"/>
    <w:rsid w:val="00E90A24"/>
    <w:rsid w:val="00E90C34"/>
    <w:rsid w:val="00E917E6"/>
    <w:rsid w:val="00E919AC"/>
    <w:rsid w:val="00E93687"/>
    <w:rsid w:val="00E946A6"/>
    <w:rsid w:val="00E947E4"/>
    <w:rsid w:val="00E94C9F"/>
    <w:rsid w:val="00E96A29"/>
    <w:rsid w:val="00E96B28"/>
    <w:rsid w:val="00E96FE6"/>
    <w:rsid w:val="00EA0A5C"/>
    <w:rsid w:val="00EA0AD2"/>
    <w:rsid w:val="00EA0CF0"/>
    <w:rsid w:val="00EA1D43"/>
    <w:rsid w:val="00EA29B4"/>
    <w:rsid w:val="00EA2D7E"/>
    <w:rsid w:val="00EA4EC9"/>
    <w:rsid w:val="00EA54D5"/>
    <w:rsid w:val="00EA5E0F"/>
    <w:rsid w:val="00EA6103"/>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966"/>
    <w:rsid w:val="00EC2CFF"/>
    <w:rsid w:val="00EC5F2F"/>
    <w:rsid w:val="00EC651E"/>
    <w:rsid w:val="00EC692E"/>
    <w:rsid w:val="00EC745E"/>
    <w:rsid w:val="00EC7EAF"/>
    <w:rsid w:val="00ED0D84"/>
    <w:rsid w:val="00ED1759"/>
    <w:rsid w:val="00ED27C3"/>
    <w:rsid w:val="00ED2B21"/>
    <w:rsid w:val="00ED33AE"/>
    <w:rsid w:val="00ED3775"/>
    <w:rsid w:val="00ED4A6D"/>
    <w:rsid w:val="00ED5692"/>
    <w:rsid w:val="00ED6C73"/>
    <w:rsid w:val="00ED6D4A"/>
    <w:rsid w:val="00ED738C"/>
    <w:rsid w:val="00ED7918"/>
    <w:rsid w:val="00ED7FD3"/>
    <w:rsid w:val="00EE16F6"/>
    <w:rsid w:val="00EE1F1A"/>
    <w:rsid w:val="00EE29DB"/>
    <w:rsid w:val="00EE3663"/>
    <w:rsid w:val="00EE41C4"/>
    <w:rsid w:val="00EE4A40"/>
    <w:rsid w:val="00EE5535"/>
    <w:rsid w:val="00EE5594"/>
    <w:rsid w:val="00EE619C"/>
    <w:rsid w:val="00EE76A9"/>
    <w:rsid w:val="00EE799E"/>
    <w:rsid w:val="00EE7B5A"/>
    <w:rsid w:val="00EE7C7E"/>
    <w:rsid w:val="00EE7CA8"/>
    <w:rsid w:val="00EE7FA7"/>
    <w:rsid w:val="00EF0963"/>
    <w:rsid w:val="00EF1093"/>
    <w:rsid w:val="00EF1707"/>
    <w:rsid w:val="00EF1FCB"/>
    <w:rsid w:val="00EF21C3"/>
    <w:rsid w:val="00EF2E6B"/>
    <w:rsid w:val="00EF44BC"/>
    <w:rsid w:val="00EF44F4"/>
    <w:rsid w:val="00F0030E"/>
    <w:rsid w:val="00F00CD1"/>
    <w:rsid w:val="00F01E6B"/>
    <w:rsid w:val="00F0241C"/>
    <w:rsid w:val="00F05759"/>
    <w:rsid w:val="00F10CB9"/>
    <w:rsid w:val="00F110D5"/>
    <w:rsid w:val="00F12351"/>
    <w:rsid w:val="00F1420E"/>
    <w:rsid w:val="00F143A1"/>
    <w:rsid w:val="00F149D1"/>
    <w:rsid w:val="00F16739"/>
    <w:rsid w:val="00F16DE2"/>
    <w:rsid w:val="00F17C5F"/>
    <w:rsid w:val="00F2052B"/>
    <w:rsid w:val="00F210C7"/>
    <w:rsid w:val="00F213FF"/>
    <w:rsid w:val="00F2260F"/>
    <w:rsid w:val="00F22F46"/>
    <w:rsid w:val="00F242AD"/>
    <w:rsid w:val="00F247F2"/>
    <w:rsid w:val="00F24D4C"/>
    <w:rsid w:val="00F252A8"/>
    <w:rsid w:val="00F25C8F"/>
    <w:rsid w:val="00F2608D"/>
    <w:rsid w:val="00F265F7"/>
    <w:rsid w:val="00F27FA6"/>
    <w:rsid w:val="00F32425"/>
    <w:rsid w:val="00F33DC8"/>
    <w:rsid w:val="00F34444"/>
    <w:rsid w:val="00F360A6"/>
    <w:rsid w:val="00F37F25"/>
    <w:rsid w:val="00F4065A"/>
    <w:rsid w:val="00F40F19"/>
    <w:rsid w:val="00F4275C"/>
    <w:rsid w:val="00F45693"/>
    <w:rsid w:val="00F456AE"/>
    <w:rsid w:val="00F45A86"/>
    <w:rsid w:val="00F47983"/>
    <w:rsid w:val="00F5170F"/>
    <w:rsid w:val="00F52339"/>
    <w:rsid w:val="00F5277A"/>
    <w:rsid w:val="00F52876"/>
    <w:rsid w:val="00F532E8"/>
    <w:rsid w:val="00F537FF"/>
    <w:rsid w:val="00F560FE"/>
    <w:rsid w:val="00F56EF6"/>
    <w:rsid w:val="00F605B6"/>
    <w:rsid w:val="00F6111C"/>
    <w:rsid w:val="00F613EC"/>
    <w:rsid w:val="00F614C0"/>
    <w:rsid w:val="00F61647"/>
    <w:rsid w:val="00F61F5F"/>
    <w:rsid w:val="00F6280F"/>
    <w:rsid w:val="00F64BEC"/>
    <w:rsid w:val="00F657CF"/>
    <w:rsid w:val="00F668FD"/>
    <w:rsid w:val="00F66A00"/>
    <w:rsid w:val="00F713A3"/>
    <w:rsid w:val="00F71A8F"/>
    <w:rsid w:val="00F75330"/>
    <w:rsid w:val="00F76BD9"/>
    <w:rsid w:val="00F80318"/>
    <w:rsid w:val="00F80703"/>
    <w:rsid w:val="00F80948"/>
    <w:rsid w:val="00F80A7F"/>
    <w:rsid w:val="00F81387"/>
    <w:rsid w:val="00F81835"/>
    <w:rsid w:val="00F81E3D"/>
    <w:rsid w:val="00F822E3"/>
    <w:rsid w:val="00F825B5"/>
    <w:rsid w:val="00F82866"/>
    <w:rsid w:val="00F84421"/>
    <w:rsid w:val="00F8449B"/>
    <w:rsid w:val="00F84CDE"/>
    <w:rsid w:val="00F85691"/>
    <w:rsid w:val="00F87032"/>
    <w:rsid w:val="00F87094"/>
    <w:rsid w:val="00F87AB3"/>
    <w:rsid w:val="00F913DC"/>
    <w:rsid w:val="00F91DDA"/>
    <w:rsid w:val="00F9397A"/>
    <w:rsid w:val="00F93A37"/>
    <w:rsid w:val="00F94182"/>
    <w:rsid w:val="00F944D9"/>
    <w:rsid w:val="00F94DB3"/>
    <w:rsid w:val="00F9606C"/>
    <w:rsid w:val="00F96500"/>
    <w:rsid w:val="00FA265A"/>
    <w:rsid w:val="00FA3230"/>
    <w:rsid w:val="00FA3F80"/>
    <w:rsid w:val="00FA413A"/>
    <w:rsid w:val="00FA4144"/>
    <w:rsid w:val="00FA4DDF"/>
    <w:rsid w:val="00FA52EC"/>
    <w:rsid w:val="00FA629E"/>
    <w:rsid w:val="00FA68DC"/>
    <w:rsid w:val="00FA6E7F"/>
    <w:rsid w:val="00FA6EF4"/>
    <w:rsid w:val="00FA7114"/>
    <w:rsid w:val="00FB0826"/>
    <w:rsid w:val="00FB2379"/>
    <w:rsid w:val="00FB4407"/>
    <w:rsid w:val="00FB4B8A"/>
    <w:rsid w:val="00FB5152"/>
    <w:rsid w:val="00FB680E"/>
    <w:rsid w:val="00FC0065"/>
    <w:rsid w:val="00FC15E7"/>
    <w:rsid w:val="00FC3AEE"/>
    <w:rsid w:val="00FC6238"/>
    <w:rsid w:val="00FC78AD"/>
    <w:rsid w:val="00FD0D70"/>
    <w:rsid w:val="00FD1D37"/>
    <w:rsid w:val="00FD254A"/>
    <w:rsid w:val="00FD33FC"/>
    <w:rsid w:val="00FD3730"/>
    <w:rsid w:val="00FD3ADE"/>
    <w:rsid w:val="00FD3B08"/>
    <w:rsid w:val="00FD4806"/>
    <w:rsid w:val="00FD4BA4"/>
    <w:rsid w:val="00FD534E"/>
    <w:rsid w:val="00FD56C7"/>
    <w:rsid w:val="00FD5CBB"/>
    <w:rsid w:val="00FD6B74"/>
    <w:rsid w:val="00FD70AE"/>
    <w:rsid w:val="00FD7356"/>
    <w:rsid w:val="00FD7564"/>
    <w:rsid w:val="00FE002E"/>
    <w:rsid w:val="00FE04B0"/>
    <w:rsid w:val="00FE1185"/>
    <w:rsid w:val="00FE2398"/>
    <w:rsid w:val="00FE515A"/>
    <w:rsid w:val="00FE5624"/>
    <w:rsid w:val="00FE5D2C"/>
    <w:rsid w:val="00FE5FBF"/>
    <w:rsid w:val="00FE6C25"/>
    <w:rsid w:val="00FF033A"/>
    <w:rsid w:val="00FF035A"/>
    <w:rsid w:val="00FF0964"/>
    <w:rsid w:val="00FF16F2"/>
    <w:rsid w:val="00FF1D24"/>
    <w:rsid w:val="00FF2B42"/>
    <w:rsid w:val="00FF3B7F"/>
    <w:rsid w:val="00FF42A0"/>
    <w:rsid w:val="00FF6822"/>
    <w:rsid w:val="00FF6839"/>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4"/>
      </w:numPr>
      <w:spacing w:after="50" w:line="180" w:lineRule="exact"/>
      <w:jc w:val="both"/>
    </w:pPr>
    <w:rPr>
      <w:rFonts w:ascii="Times New Roman" w:eastAsia="MS Mincho" w:hAnsi="Times New Roman"/>
      <w:noProof/>
      <w:sz w:val="16"/>
      <w:szCs w:val="16"/>
    </w:rPr>
  </w:style>
  <w:style w:type="character" w:customStyle="1" w:styleId="TACChar">
    <w:name w:val="TAC Char"/>
    <w:link w:val="TAC"/>
    <w:locked/>
    <w:rsid w:val="0003163F"/>
    <w:rPr>
      <w:rFonts w:ascii="Arial" w:hAnsi="Arial"/>
      <w:sz w:val="18"/>
      <w:lang w:val="en-GB"/>
    </w:rPr>
  </w:style>
  <w:style w:type="character" w:customStyle="1" w:styleId="TAHCar">
    <w:name w:val="TAH Car"/>
    <w:link w:val="TAH"/>
    <w:locked/>
    <w:rsid w:val="0003163F"/>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1950963">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2993514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3775355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143754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5583976">
      <w:bodyDiv w:val="1"/>
      <w:marLeft w:val="0"/>
      <w:marRight w:val="0"/>
      <w:marTop w:val="0"/>
      <w:marBottom w:val="0"/>
      <w:divBdr>
        <w:top w:val="none" w:sz="0" w:space="0" w:color="auto"/>
        <w:left w:val="none" w:sz="0" w:space="0" w:color="auto"/>
        <w:bottom w:val="none" w:sz="0" w:space="0" w:color="auto"/>
        <w:right w:val="none" w:sz="0" w:space="0" w:color="auto"/>
      </w:divBdr>
    </w:div>
    <w:div w:id="1515344644">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68572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0854973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5AIRPNAIUNRU-1830940522-3738</_dlc_DocId>
    <_dlc_DocIdUrl xmlns="71c5aaf6-e6ce-465b-b873-5148d2a4c105">
      <Url>https://nokia.sharepoint.com/sites/c5g/5gradio/_layouts/15/DocIdRedir.aspx?ID=5AIRPNAIUNRU-1830940522-3738</Url>
      <Description>5AIRPNAIUNRU-1830940522-3738</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CB358-B381-44CF-98AF-2E647DDF9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purl.org/dc/dcmitype/"/>
    <ds:schemaRef ds:uri="http://purl.org/dc/elements/1.1/"/>
    <ds:schemaRef ds:uri="71c5aaf6-e6ce-465b-b873-5148d2a4c105"/>
    <ds:schemaRef ds:uri="http://schemas.microsoft.com/office/2006/documentManagement/types"/>
    <ds:schemaRef ds:uri="http://schemas.microsoft.com/office/2006/metadata/properties"/>
    <ds:schemaRef ds:uri="ebabf6ce-2443-438c-9946-ecc878e7654a"/>
    <ds:schemaRef ds:uri="http://schemas.microsoft.com/office/infopath/2007/PartnerControls"/>
    <ds:schemaRef ds:uri="http://schemas.openxmlformats.org/package/2006/metadata/core-properties"/>
    <ds:schemaRef ds:uri="http://purl.org/dc/terms/"/>
    <ds:schemaRef ds:uri="95d2e41d-1f11-4347-bb1c-11d6a32975dd"/>
    <ds:schemaRef ds:uri="3b34c8f0-1ef5-4d1e-bb66-517ce7fe7356"/>
    <ds:schemaRef ds:uri="http://www.w3.org/XML/1998/namespace"/>
  </ds:schemaRefs>
</ds:datastoreItem>
</file>

<file path=customXml/itemProps4.xml><?xml version="1.0" encoding="utf-8"?>
<ds:datastoreItem xmlns:ds="http://schemas.openxmlformats.org/officeDocument/2006/customXml" ds:itemID="{FB44DFC4-A9E7-4D79-AE4B-50C7FD91F0A6}">
  <ds:schemaRefs>
    <ds:schemaRef ds:uri="Microsoft.SharePoint.Taxonomy.ContentTypeSync"/>
  </ds:schemaRefs>
</ds:datastoreItem>
</file>

<file path=customXml/itemProps5.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6.xml><?xml version="1.0" encoding="utf-8"?>
<ds:datastoreItem xmlns:ds="http://schemas.openxmlformats.org/officeDocument/2006/customXml" ds:itemID="{7EB674ED-9878-458D-98C4-FC949EDEB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2</cp:revision>
  <cp:lastPrinted>2016-06-20T11:35:00Z</cp:lastPrinted>
  <dcterms:created xsi:type="dcterms:W3CDTF">2018-08-10T11:35:00Z</dcterms:created>
  <dcterms:modified xsi:type="dcterms:W3CDTF">2018-08-10T11:35:00Z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340e91a4-5e66-48ab-9e9c-0f0df3df2bf0</vt:lpwstr>
  </property>
  <property fmtid="{D5CDD505-2E9C-101B-9397-08002B2CF9AE}" pid="8" name="MSIP_Label_46cc7c65-2b09-40ab-abef-d10548338a3b_Enabled">
    <vt:lpwstr>False</vt:lpwstr>
  </property>
  <property fmtid="{D5CDD505-2E9C-101B-9397-08002B2CF9AE}" pid="9" name="MSIP_Label_46cc7c65-2b09-40ab-abef-d10548338a3b_SiteId">
    <vt:lpwstr>5d471751-9675-428d-917b-70f44f9630b0</vt:lpwstr>
  </property>
  <property fmtid="{D5CDD505-2E9C-101B-9397-08002B2CF9AE}" pid="10" name="MSIP_Label_46cc7c65-2b09-40ab-abef-d10548338a3b_Owner">
    <vt:lpwstr>esa.tiirola@nokia-bell-labs.com</vt:lpwstr>
  </property>
  <property fmtid="{D5CDD505-2E9C-101B-9397-08002B2CF9AE}" pid="11" name="MSIP_Label_46cc7c65-2b09-40ab-abef-d10548338a3b_SetDate">
    <vt:lpwstr>2018-03-21T14:53:32.4813624+02:00</vt:lpwstr>
  </property>
  <property fmtid="{D5CDD505-2E9C-101B-9397-08002B2CF9AE}" pid="12" name="MSIP_Label_46cc7c65-2b09-40ab-abef-d10548338a3b_Name">
    <vt:lpwstr>Nokia internal use</vt:lpwstr>
  </property>
  <property fmtid="{D5CDD505-2E9C-101B-9397-08002B2CF9AE}" pid="13" name="MSIP_Label_46cc7c65-2b09-40ab-abef-d10548338a3b_Application">
    <vt:lpwstr>Microsoft Azure Information Protection</vt:lpwstr>
  </property>
  <property fmtid="{D5CDD505-2E9C-101B-9397-08002B2CF9AE}" pid="14" name="MSIP_Label_46cc7c65-2b09-40ab-abef-d10548338a3b_Extended_MSFT_Method">
    <vt:lpwstr>Manual</vt:lpwstr>
  </property>
  <property fmtid="{D5CDD505-2E9C-101B-9397-08002B2CF9AE}" pid="15" name="Sensitivity">
    <vt:lpwstr/>
  </property>
</Properties>
</file>